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932D4">
      <w:pPr>
        <w:ind w:firstLine="0" w:firstLineChars="0"/>
        <w:jc w:val="center"/>
        <w:rPr>
          <w:sz w:val="32"/>
          <w:szCs w:val="32"/>
        </w:rPr>
      </w:pPr>
    </w:p>
    <w:p w14:paraId="649E6B1B">
      <w:pPr>
        <w:ind w:firstLine="0" w:firstLineChars="0"/>
        <w:jc w:val="center"/>
        <w:rPr>
          <w:rFonts w:ascii="方正小标宋简体" w:eastAsia="方正小标宋简体"/>
          <w:sz w:val="44"/>
          <w:szCs w:val="44"/>
        </w:rPr>
      </w:pPr>
    </w:p>
    <w:p w14:paraId="72993902">
      <w:pPr>
        <w:ind w:firstLine="0" w:firstLineChars="0"/>
        <w:jc w:val="center"/>
        <w:rPr>
          <w:rFonts w:ascii="方正小标宋简体" w:eastAsia="方正小标宋简体"/>
          <w:sz w:val="44"/>
          <w:szCs w:val="44"/>
        </w:rPr>
      </w:pPr>
      <w:r>
        <w:rPr>
          <w:rFonts w:hint="eastAsia" w:ascii="方正小标宋简体" w:eastAsia="方正小标宋简体"/>
          <w:sz w:val="44"/>
          <w:szCs w:val="44"/>
        </w:rPr>
        <w:t>贵州省贵安新区直管区矿产资源总体规划</w:t>
      </w:r>
    </w:p>
    <w:p w14:paraId="0B52CF2E">
      <w:pPr>
        <w:ind w:firstLine="0" w:firstLineChars="0"/>
        <w:jc w:val="center"/>
        <w:rPr>
          <w:rFonts w:ascii="方正小标宋简体" w:eastAsia="方正小标宋简体"/>
          <w:sz w:val="44"/>
          <w:szCs w:val="44"/>
        </w:rPr>
      </w:pPr>
      <w:r>
        <w:rPr>
          <w:rFonts w:hint="eastAsia" w:ascii="方正小标宋简体" w:eastAsia="方正小标宋简体"/>
          <w:sz w:val="44"/>
          <w:szCs w:val="44"/>
        </w:rPr>
        <w:t>（</w:t>
      </w:r>
      <w:r>
        <w:rPr>
          <w:rFonts w:ascii="方正小标宋简体" w:eastAsia="方正小标宋简体"/>
          <w:sz w:val="44"/>
          <w:szCs w:val="44"/>
        </w:rPr>
        <w:t>2016—2020</w:t>
      </w:r>
      <w:r>
        <w:rPr>
          <w:rFonts w:hint="eastAsia" w:ascii="方正小标宋简体" w:eastAsia="方正小标宋简体"/>
          <w:sz w:val="44"/>
          <w:szCs w:val="44"/>
        </w:rPr>
        <w:t>年）</w:t>
      </w:r>
    </w:p>
    <w:p w14:paraId="0FE8A59C">
      <w:pPr>
        <w:ind w:firstLine="0" w:firstLineChars="0"/>
        <w:jc w:val="center"/>
        <w:rPr>
          <w:sz w:val="32"/>
          <w:szCs w:val="32"/>
        </w:rPr>
      </w:pPr>
    </w:p>
    <w:p w14:paraId="22F1CA6E">
      <w:pPr>
        <w:ind w:firstLine="0" w:firstLineChars="0"/>
        <w:jc w:val="center"/>
        <w:rPr>
          <w:sz w:val="32"/>
          <w:szCs w:val="32"/>
        </w:rPr>
      </w:pPr>
    </w:p>
    <w:p w14:paraId="4BCE87D7">
      <w:pPr>
        <w:ind w:firstLine="0" w:firstLineChars="0"/>
        <w:jc w:val="center"/>
        <w:rPr>
          <w:sz w:val="32"/>
          <w:szCs w:val="32"/>
        </w:rPr>
      </w:pPr>
    </w:p>
    <w:p w14:paraId="12A5B8C2">
      <w:pPr>
        <w:ind w:firstLine="0" w:firstLineChars="0"/>
        <w:jc w:val="center"/>
        <w:rPr>
          <w:sz w:val="32"/>
          <w:szCs w:val="32"/>
        </w:rPr>
      </w:pPr>
    </w:p>
    <w:p w14:paraId="66959EEE">
      <w:pPr>
        <w:ind w:firstLine="0" w:firstLineChars="0"/>
        <w:jc w:val="center"/>
        <w:rPr>
          <w:sz w:val="32"/>
          <w:szCs w:val="32"/>
        </w:rPr>
      </w:pPr>
    </w:p>
    <w:p w14:paraId="60D1B9B4">
      <w:pPr>
        <w:ind w:firstLine="0" w:firstLineChars="0"/>
        <w:jc w:val="center"/>
        <w:rPr>
          <w:sz w:val="32"/>
          <w:szCs w:val="32"/>
        </w:rPr>
      </w:pPr>
    </w:p>
    <w:p w14:paraId="4E86449F">
      <w:pPr>
        <w:ind w:firstLine="0" w:firstLineChars="0"/>
        <w:jc w:val="center"/>
        <w:rPr>
          <w:sz w:val="32"/>
          <w:szCs w:val="32"/>
        </w:rPr>
      </w:pPr>
    </w:p>
    <w:p w14:paraId="1844C725">
      <w:pPr>
        <w:ind w:firstLine="0" w:firstLineChars="0"/>
        <w:jc w:val="center"/>
        <w:rPr>
          <w:sz w:val="32"/>
          <w:szCs w:val="32"/>
        </w:rPr>
      </w:pPr>
    </w:p>
    <w:p w14:paraId="005C0A80">
      <w:pPr>
        <w:ind w:firstLine="0" w:firstLineChars="0"/>
        <w:jc w:val="center"/>
        <w:rPr>
          <w:sz w:val="32"/>
          <w:szCs w:val="32"/>
        </w:rPr>
      </w:pPr>
    </w:p>
    <w:p w14:paraId="12C62D79">
      <w:pPr>
        <w:ind w:firstLine="0" w:firstLineChars="0"/>
        <w:jc w:val="center"/>
        <w:rPr>
          <w:sz w:val="32"/>
          <w:szCs w:val="32"/>
        </w:rPr>
      </w:pPr>
    </w:p>
    <w:p w14:paraId="4F2138BA">
      <w:pPr>
        <w:ind w:firstLine="0" w:firstLineChars="0"/>
        <w:jc w:val="center"/>
        <w:rPr>
          <w:sz w:val="32"/>
          <w:szCs w:val="32"/>
        </w:rPr>
      </w:pPr>
    </w:p>
    <w:p w14:paraId="68DAABC8">
      <w:pPr>
        <w:ind w:firstLine="0" w:firstLineChars="0"/>
        <w:jc w:val="center"/>
        <w:rPr>
          <w:sz w:val="32"/>
          <w:szCs w:val="32"/>
        </w:rPr>
      </w:pPr>
    </w:p>
    <w:p w14:paraId="0C9BDC10">
      <w:pPr>
        <w:ind w:firstLine="0" w:firstLineChars="0"/>
        <w:jc w:val="center"/>
        <w:rPr>
          <w:sz w:val="32"/>
          <w:szCs w:val="32"/>
        </w:rPr>
      </w:pPr>
      <w:r>
        <w:rPr>
          <w:rFonts w:hint="eastAsia"/>
          <w:sz w:val="32"/>
          <w:szCs w:val="32"/>
        </w:rPr>
        <w:t>贵安新区国土资源局</w:t>
      </w:r>
    </w:p>
    <w:p w14:paraId="65F982CD">
      <w:pPr>
        <w:ind w:firstLine="0" w:firstLineChars="0"/>
        <w:jc w:val="center"/>
        <w:rPr>
          <w:sz w:val="32"/>
          <w:szCs w:val="32"/>
        </w:rPr>
      </w:pPr>
      <w:r>
        <w:rPr>
          <w:rFonts w:hint="eastAsia"/>
          <w:sz w:val="32"/>
          <w:szCs w:val="32"/>
        </w:rPr>
        <w:t>二〇一八年十二月</w:t>
      </w:r>
    </w:p>
    <w:p w14:paraId="2786F71A">
      <w:pPr>
        <w:ind w:firstLine="0" w:firstLineChars="0"/>
        <w:jc w:val="center"/>
        <w:rPr>
          <w:sz w:val="32"/>
          <w:szCs w:val="32"/>
        </w:rPr>
      </w:pPr>
      <w:r>
        <w:rPr>
          <w:sz w:val="32"/>
          <w:szCs w:val="32"/>
        </w:rPr>
        <w:br w:type="page"/>
      </w:r>
    </w:p>
    <w:p w14:paraId="2773D965">
      <w:pPr>
        <w:ind w:firstLine="0" w:firstLineChars="0"/>
        <w:jc w:val="center"/>
      </w:pPr>
      <w:r>
        <w:br w:type="page"/>
      </w:r>
    </w:p>
    <w:p w14:paraId="474CBC09">
      <w:pPr>
        <w:ind w:firstLine="0" w:firstLineChars="0"/>
        <w:jc w:val="center"/>
        <w:rPr>
          <w:rFonts w:ascii="方正小标宋简体" w:eastAsia="方正小标宋简体"/>
          <w:sz w:val="44"/>
          <w:szCs w:val="44"/>
        </w:rPr>
      </w:pPr>
      <w:r>
        <w:rPr>
          <w:rFonts w:hint="eastAsia" w:ascii="方正小标宋简体" w:eastAsia="方正小标宋简体"/>
          <w:sz w:val="44"/>
          <w:szCs w:val="44"/>
        </w:rPr>
        <w:t>贵州省贵安新区直管区矿产资源规划</w:t>
      </w:r>
    </w:p>
    <w:p w14:paraId="58637465">
      <w:pPr>
        <w:ind w:firstLine="0" w:firstLineChars="0"/>
        <w:jc w:val="center"/>
        <w:rPr>
          <w:rFonts w:ascii="方正小标宋简体" w:eastAsia="方正小标宋简体"/>
          <w:sz w:val="44"/>
          <w:szCs w:val="44"/>
        </w:rPr>
      </w:pPr>
      <w:r>
        <w:rPr>
          <w:rFonts w:hint="eastAsia" w:ascii="方正小标宋简体" w:eastAsia="方正小标宋简体"/>
          <w:sz w:val="44"/>
          <w:szCs w:val="44"/>
        </w:rPr>
        <w:t>（</w:t>
      </w:r>
      <w:r>
        <w:rPr>
          <w:rFonts w:ascii="方正小标宋简体" w:eastAsia="方正小标宋简体"/>
          <w:sz w:val="44"/>
          <w:szCs w:val="44"/>
        </w:rPr>
        <w:t>2016-2020</w:t>
      </w:r>
      <w:r>
        <w:rPr>
          <w:rFonts w:hint="eastAsia" w:ascii="方正小标宋简体" w:eastAsia="方正小标宋简体"/>
          <w:sz w:val="44"/>
          <w:szCs w:val="44"/>
        </w:rPr>
        <w:t>）</w:t>
      </w:r>
    </w:p>
    <w:p w14:paraId="0F70D559">
      <w:pPr>
        <w:ind w:firstLine="0" w:firstLineChars="0"/>
        <w:jc w:val="center"/>
        <w:rPr>
          <w:sz w:val="32"/>
          <w:szCs w:val="32"/>
        </w:rPr>
      </w:pPr>
    </w:p>
    <w:p w14:paraId="4203C840">
      <w:pPr>
        <w:ind w:firstLine="0" w:firstLineChars="0"/>
        <w:jc w:val="center"/>
        <w:rPr>
          <w:rFonts w:ascii="仿宋_GB2312" w:eastAsia="仿宋_GB2312"/>
          <w:sz w:val="32"/>
          <w:szCs w:val="32"/>
        </w:rPr>
      </w:pPr>
      <w:r>
        <w:rPr>
          <w:rFonts w:hint="eastAsia" w:ascii="仿宋_GB2312" w:eastAsia="仿宋_GB2312"/>
          <w:sz w:val="32"/>
          <w:szCs w:val="32"/>
        </w:rPr>
        <w:t>编制单位：贵州有色工程地质勘察公司</w:t>
      </w:r>
    </w:p>
    <w:p w14:paraId="106322F2">
      <w:pPr>
        <w:ind w:firstLine="0" w:firstLineChars="0"/>
        <w:jc w:val="center"/>
        <w:rPr>
          <w:rFonts w:ascii="仿宋_GB2312" w:eastAsia="仿宋_GB2312"/>
          <w:sz w:val="32"/>
          <w:szCs w:val="32"/>
        </w:rPr>
      </w:pPr>
      <w:r>
        <w:rPr>
          <w:rFonts w:ascii="仿宋_GB2312" w:eastAsia="仿宋_GB2312"/>
          <w:sz w:val="32"/>
          <w:szCs w:val="32"/>
        </w:rPr>
        <w:t xml:space="preserve">              </w:t>
      </w:r>
    </w:p>
    <w:p w14:paraId="3269DBB7">
      <w:pPr>
        <w:ind w:firstLine="0" w:firstLineChars="0"/>
        <w:jc w:val="center"/>
        <w:rPr>
          <w:rFonts w:ascii="仿宋_GB2312" w:eastAsia="仿宋_GB2312"/>
          <w:sz w:val="32"/>
          <w:szCs w:val="32"/>
        </w:rPr>
      </w:pPr>
    </w:p>
    <w:p w14:paraId="0172F510">
      <w:pPr>
        <w:ind w:firstLine="0" w:firstLineChars="0"/>
        <w:jc w:val="center"/>
        <w:rPr>
          <w:rFonts w:ascii="仿宋_GB2312" w:eastAsia="仿宋_GB2312"/>
          <w:sz w:val="32"/>
          <w:szCs w:val="32"/>
        </w:rPr>
      </w:pPr>
    </w:p>
    <w:p w14:paraId="5B59D774">
      <w:pPr>
        <w:ind w:left="2340" w:leftChars="975" w:firstLine="0" w:firstLineChars="0"/>
        <w:rPr>
          <w:rFonts w:ascii="仿宋_GB2312" w:eastAsia="仿宋_GB2312"/>
          <w:sz w:val="32"/>
          <w:szCs w:val="32"/>
        </w:rPr>
      </w:pPr>
      <w:r>
        <w:rPr>
          <w:rFonts w:hint="eastAsia" w:ascii="仿宋_GB2312" w:eastAsia="仿宋_GB2312"/>
          <w:sz w:val="32"/>
          <w:szCs w:val="32"/>
        </w:rPr>
        <w:t>项目负责：李洪珍</w:t>
      </w:r>
    </w:p>
    <w:p w14:paraId="4F619897">
      <w:pPr>
        <w:ind w:left="2340" w:leftChars="975" w:firstLine="0" w:firstLineChars="0"/>
        <w:rPr>
          <w:rFonts w:ascii="仿宋_GB2312" w:eastAsia="仿宋_GB2312"/>
          <w:sz w:val="32"/>
          <w:szCs w:val="32"/>
        </w:rPr>
      </w:pPr>
      <w:r>
        <w:rPr>
          <w:rFonts w:hint="eastAsia" w:ascii="仿宋_GB2312" w:eastAsia="仿宋_GB2312"/>
          <w:sz w:val="32"/>
          <w:szCs w:val="32"/>
        </w:rPr>
        <w:t>编制人员：杜江</w:t>
      </w:r>
      <w:r>
        <w:rPr>
          <w:rFonts w:ascii="仿宋_GB2312" w:eastAsia="仿宋_GB2312"/>
          <w:sz w:val="32"/>
          <w:szCs w:val="32"/>
        </w:rPr>
        <w:t xml:space="preserve">  </w:t>
      </w:r>
      <w:r>
        <w:rPr>
          <w:rFonts w:hint="eastAsia" w:ascii="仿宋_GB2312" w:eastAsia="仿宋_GB2312"/>
          <w:sz w:val="32"/>
          <w:szCs w:val="32"/>
        </w:rPr>
        <w:t>杨倩</w:t>
      </w:r>
      <w:r>
        <w:rPr>
          <w:rFonts w:ascii="仿宋_GB2312" w:eastAsia="仿宋_GB2312"/>
          <w:sz w:val="32"/>
          <w:szCs w:val="32"/>
        </w:rPr>
        <w:t xml:space="preserve">  </w:t>
      </w:r>
      <w:r>
        <w:rPr>
          <w:rFonts w:hint="eastAsia" w:ascii="仿宋_GB2312" w:eastAsia="仿宋_GB2312"/>
          <w:sz w:val="32"/>
          <w:szCs w:val="32"/>
        </w:rPr>
        <w:t>彭洁</w:t>
      </w:r>
    </w:p>
    <w:p w14:paraId="4241CEBD">
      <w:pPr>
        <w:ind w:left="2340" w:leftChars="975" w:firstLine="0" w:firstLineChars="0"/>
        <w:rPr>
          <w:rFonts w:ascii="仿宋_GB2312" w:eastAsia="仿宋_GB2312"/>
          <w:sz w:val="32"/>
          <w:szCs w:val="32"/>
        </w:rPr>
      </w:pPr>
      <w:r>
        <w:rPr>
          <w:rFonts w:hint="eastAsia" w:ascii="仿宋_GB2312" w:eastAsia="仿宋_GB2312"/>
          <w:sz w:val="32"/>
          <w:szCs w:val="32"/>
        </w:rPr>
        <w:t>审</w:t>
      </w:r>
      <w:r>
        <w:rPr>
          <w:rFonts w:ascii="仿宋_GB2312" w:eastAsia="仿宋_GB2312"/>
          <w:sz w:val="32"/>
          <w:szCs w:val="32"/>
        </w:rPr>
        <w:t xml:space="preserve">    </w:t>
      </w:r>
      <w:r>
        <w:rPr>
          <w:rFonts w:hint="eastAsia" w:ascii="仿宋_GB2312" w:eastAsia="仿宋_GB2312"/>
          <w:sz w:val="32"/>
          <w:szCs w:val="32"/>
        </w:rPr>
        <w:t>核：张成忠</w:t>
      </w:r>
    </w:p>
    <w:p w14:paraId="3CAC6D30">
      <w:pPr>
        <w:ind w:left="2340" w:leftChars="975" w:firstLine="0" w:firstLineChars="0"/>
        <w:rPr>
          <w:rFonts w:ascii="仿宋_GB2312" w:eastAsia="仿宋_GB2312"/>
          <w:sz w:val="32"/>
          <w:szCs w:val="32"/>
        </w:rPr>
      </w:pPr>
      <w:r>
        <w:rPr>
          <w:rFonts w:hint="eastAsia" w:ascii="仿宋_GB2312" w:eastAsia="仿宋_GB2312"/>
          <w:sz w:val="32"/>
          <w:szCs w:val="32"/>
        </w:rPr>
        <w:t>总工程师：刘发祥</w:t>
      </w:r>
    </w:p>
    <w:p w14:paraId="0682F555">
      <w:pPr>
        <w:ind w:left="2340" w:leftChars="975" w:firstLine="0" w:firstLineChars="0"/>
        <w:rPr>
          <w:rFonts w:ascii="仿宋_GB2312" w:eastAsia="仿宋_GB2312"/>
          <w:sz w:val="32"/>
          <w:szCs w:val="32"/>
        </w:rPr>
      </w:pPr>
      <w:r>
        <w:rPr>
          <w:rFonts w:hint="eastAsia" w:ascii="仿宋_GB2312" w:eastAsia="仿宋_GB2312"/>
          <w:sz w:val="32"/>
          <w:szCs w:val="32"/>
        </w:rPr>
        <w:t>经</w:t>
      </w:r>
      <w:r>
        <w:rPr>
          <w:rFonts w:ascii="仿宋_GB2312" w:eastAsia="仿宋_GB2312"/>
          <w:sz w:val="32"/>
          <w:szCs w:val="32"/>
        </w:rPr>
        <w:t xml:space="preserve">    </w:t>
      </w:r>
      <w:r>
        <w:rPr>
          <w:rFonts w:hint="eastAsia" w:ascii="仿宋_GB2312" w:eastAsia="仿宋_GB2312"/>
          <w:sz w:val="32"/>
          <w:szCs w:val="32"/>
        </w:rPr>
        <w:t>理：张</w:t>
      </w:r>
      <w:r>
        <w:rPr>
          <w:rFonts w:ascii="仿宋_GB2312" w:eastAsia="仿宋_GB2312"/>
          <w:sz w:val="32"/>
          <w:szCs w:val="32"/>
        </w:rPr>
        <w:t xml:space="preserve">  </w:t>
      </w:r>
      <w:r>
        <w:rPr>
          <w:rFonts w:hint="eastAsia" w:ascii="仿宋_GB2312" w:eastAsia="仿宋_GB2312"/>
          <w:sz w:val="32"/>
          <w:szCs w:val="32"/>
        </w:rPr>
        <w:t>新</w:t>
      </w:r>
    </w:p>
    <w:p w14:paraId="0A6412F3">
      <w:pPr>
        <w:ind w:firstLine="0" w:firstLineChars="0"/>
        <w:jc w:val="center"/>
        <w:rPr>
          <w:rFonts w:ascii="仿宋_GB2312" w:eastAsia="仿宋_GB2312"/>
          <w:sz w:val="32"/>
          <w:szCs w:val="32"/>
        </w:rPr>
      </w:pPr>
    </w:p>
    <w:p w14:paraId="7AB400AA">
      <w:pPr>
        <w:ind w:firstLine="0" w:firstLineChars="0"/>
        <w:jc w:val="center"/>
        <w:rPr>
          <w:rFonts w:ascii="仿宋_GB2312" w:eastAsia="仿宋_GB2312"/>
          <w:sz w:val="32"/>
          <w:szCs w:val="32"/>
        </w:rPr>
      </w:pPr>
    </w:p>
    <w:p w14:paraId="5DBA9D18">
      <w:pPr>
        <w:ind w:firstLine="0" w:firstLineChars="0"/>
        <w:jc w:val="center"/>
        <w:rPr>
          <w:rFonts w:ascii="仿宋_GB2312" w:eastAsia="仿宋_GB2312"/>
          <w:sz w:val="32"/>
          <w:szCs w:val="32"/>
        </w:rPr>
      </w:pPr>
    </w:p>
    <w:p w14:paraId="5F3D6118">
      <w:pPr>
        <w:ind w:firstLine="0" w:firstLineChars="0"/>
        <w:jc w:val="center"/>
        <w:rPr>
          <w:rFonts w:ascii="仿宋_GB2312" w:eastAsia="仿宋_GB2312"/>
          <w:sz w:val="32"/>
          <w:szCs w:val="32"/>
        </w:rPr>
      </w:pPr>
      <w:r>
        <w:rPr>
          <w:rFonts w:hint="eastAsia" w:ascii="仿宋_GB2312" w:eastAsia="仿宋_GB2312"/>
          <w:sz w:val="32"/>
          <w:szCs w:val="32"/>
        </w:rPr>
        <w:t>提交单位：贵安新区国土资源局</w:t>
      </w:r>
    </w:p>
    <w:p w14:paraId="1B8B8E6E">
      <w:pPr>
        <w:ind w:firstLine="0" w:firstLineChars="0"/>
        <w:jc w:val="center"/>
        <w:rPr>
          <w:rFonts w:ascii="仿宋_GB2312" w:eastAsia="仿宋_GB2312"/>
          <w:sz w:val="32"/>
          <w:szCs w:val="32"/>
        </w:rPr>
      </w:pPr>
      <w:r>
        <w:rPr>
          <w:rFonts w:hint="eastAsia" w:ascii="仿宋_GB2312" w:eastAsia="仿宋_GB2312"/>
          <w:sz w:val="32"/>
          <w:szCs w:val="32"/>
        </w:rPr>
        <w:t>提交时间：</w:t>
      </w:r>
      <w:r>
        <w:rPr>
          <w:rFonts w:hint="eastAsia"/>
          <w:sz w:val="32"/>
          <w:szCs w:val="32"/>
        </w:rPr>
        <w:t>二〇一八年十二月</w:t>
      </w:r>
    </w:p>
    <w:p w14:paraId="37E94194">
      <w:pPr>
        <w:ind w:firstLine="0" w:firstLineChars="0"/>
        <w:jc w:val="center"/>
        <w:rPr>
          <w:b/>
          <w:sz w:val="32"/>
          <w:szCs w:val="32"/>
        </w:rPr>
      </w:pPr>
      <w:r>
        <w:rPr>
          <w:b/>
          <w:sz w:val="32"/>
          <w:szCs w:val="32"/>
        </w:rPr>
        <w:br w:type="page"/>
      </w:r>
    </w:p>
    <w:p w14:paraId="22C61ED2">
      <w:pPr>
        <w:ind w:firstLine="0" w:firstLineChars="0"/>
        <w:jc w:val="center"/>
        <w:rPr>
          <w:b/>
          <w:sz w:val="32"/>
          <w:szCs w:val="32"/>
        </w:rPr>
      </w:pPr>
    </w:p>
    <w:p w14:paraId="174E7435">
      <w:pPr>
        <w:ind w:firstLine="0" w:firstLineChars="0"/>
        <w:jc w:val="center"/>
        <w:rPr>
          <w:b/>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797" w:right="1440" w:bottom="1797" w:left="1440" w:header="851" w:footer="992" w:gutter="0"/>
          <w:pgNumType w:start="1"/>
          <w:cols w:space="425" w:num="1"/>
          <w:docGrid w:type="lines" w:linePitch="312" w:charSpace="0"/>
        </w:sectPr>
      </w:pPr>
    </w:p>
    <w:p w14:paraId="1F4468F7">
      <w:pPr>
        <w:pStyle w:val="11"/>
      </w:pPr>
      <w:r>
        <w:rPr>
          <w:rFonts w:hint="eastAsia"/>
        </w:rPr>
        <w:t>目录</w:t>
      </w:r>
    </w:p>
    <w:p w14:paraId="703DE89B">
      <w:pPr>
        <w:ind w:firstLine="480"/>
      </w:pPr>
    </w:p>
    <w:p w14:paraId="22B58BE5">
      <w:pPr>
        <w:pStyle w:val="11"/>
        <w:rPr>
          <w:rFonts w:ascii="Calibri" w:hAnsi="Calibri"/>
          <w:b w:val="0"/>
          <w:sz w:val="21"/>
          <w:szCs w:val="22"/>
        </w:rPr>
      </w:pPr>
      <w:r>
        <w:rPr>
          <w:sz w:val="32"/>
          <w:szCs w:val="32"/>
        </w:rPr>
        <w:fldChar w:fldCharType="begin"/>
      </w:r>
      <w:r>
        <w:rPr>
          <w:sz w:val="32"/>
          <w:szCs w:val="32"/>
        </w:rPr>
        <w:instrText xml:space="preserve"> TOC \o "1-3" \h \z \u </w:instrText>
      </w:r>
      <w:r>
        <w:rPr>
          <w:sz w:val="32"/>
          <w:szCs w:val="32"/>
        </w:rPr>
        <w:fldChar w:fldCharType="separate"/>
      </w:r>
      <w:r>
        <w:fldChar w:fldCharType="begin"/>
      </w:r>
      <w:r>
        <w:instrText xml:space="preserve"> HYPERLINK \l "_Toc508698450" </w:instrText>
      </w:r>
      <w:r>
        <w:fldChar w:fldCharType="separate"/>
      </w:r>
      <w:r>
        <w:rPr>
          <w:rStyle w:val="18"/>
          <w:rFonts w:hint="eastAsia"/>
        </w:rPr>
        <w:t>第一章总则</w:t>
      </w:r>
      <w:r>
        <w:tab/>
      </w:r>
      <w:r>
        <w:fldChar w:fldCharType="begin"/>
      </w:r>
      <w:r>
        <w:instrText xml:space="preserve"> PAGEREF _Toc508698450 \h </w:instrText>
      </w:r>
      <w:r>
        <w:fldChar w:fldCharType="separate"/>
      </w:r>
      <w:r>
        <w:t>1</w:t>
      </w:r>
      <w:r>
        <w:fldChar w:fldCharType="end"/>
      </w:r>
      <w:r>
        <w:fldChar w:fldCharType="end"/>
      </w:r>
    </w:p>
    <w:p w14:paraId="7BAF2810">
      <w:pPr>
        <w:pStyle w:val="12"/>
        <w:tabs>
          <w:tab w:val="right" w:leader="dot" w:pos="8296"/>
        </w:tabs>
        <w:ind w:left="480" w:firstLine="480"/>
        <w:rPr>
          <w:rFonts w:ascii="Calibri" w:hAnsi="Calibri"/>
          <w:sz w:val="21"/>
        </w:rPr>
      </w:pPr>
      <w:r>
        <w:fldChar w:fldCharType="begin"/>
      </w:r>
      <w:r>
        <w:instrText xml:space="preserve"> HYPERLINK \l "_Toc508698451" </w:instrText>
      </w:r>
      <w:r>
        <w:fldChar w:fldCharType="separate"/>
      </w:r>
      <w:r>
        <w:rPr>
          <w:rStyle w:val="18"/>
          <w:rFonts w:hint="eastAsia"/>
        </w:rPr>
        <w:t>第一节目的、任务及编制依据</w:t>
      </w:r>
      <w:r>
        <w:tab/>
      </w:r>
      <w:r>
        <w:fldChar w:fldCharType="begin"/>
      </w:r>
      <w:r>
        <w:instrText xml:space="preserve"> PAGEREF _Toc508698451 \h </w:instrText>
      </w:r>
      <w:r>
        <w:fldChar w:fldCharType="separate"/>
      </w:r>
      <w:r>
        <w:t>1</w:t>
      </w:r>
      <w:r>
        <w:fldChar w:fldCharType="end"/>
      </w:r>
      <w:r>
        <w:fldChar w:fldCharType="end"/>
      </w:r>
    </w:p>
    <w:p w14:paraId="30F8F82D">
      <w:pPr>
        <w:pStyle w:val="12"/>
        <w:tabs>
          <w:tab w:val="right" w:leader="dot" w:pos="8296"/>
        </w:tabs>
        <w:ind w:left="480" w:firstLine="480"/>
        <w:rPr>
          <w:rFonts w:ascii="Calibri" w:hAnsi="Calibri"/>
          <w:sz w:val="21"/>
        </w:rPr>
      </w:pPr>
      <w:r>
        <w:fldChar w:fldCharType="begin"/>
      </w:r>
      <w:r>
        <w:instrText xml:space="preserve"> HYPERLINK \l "_Toc508698452" </w:instrText>
      </w:r>
      <w:r>
        <w:fldChar w:fldCharType="separate"/>
      </w:r>
      <w:r>
        <w:rPr>
          <w:rStyle w:val="18"/>
          <w:rFonts w:hint="eastAsia"/>
        </w:rPr>
        <w:t>第二节规划对象及适用范围</w:t>
      </w:r>
      <w:r>
        <w:tab/>
      </w:r>
      <w:r>
        <w:fldChar w:fldCharType="begin"/>
      </w:r>
      <w:r>
        <w:instrText xml:space="preserve"> PAGEREF _Toc508698452 \h </w:instrText>
      </w:r>
      <w:r>
        <w:fldChar w:fldCharType="separate"/>
      </w:r>
      <w:r>
        <w:t>2</w:t>
      </w:r>
      <w:r>
        <w:fldChar w:fldCharType="end"/>
      </w:r>
      <w:r>
        <w:fldChar w:fldCharType="end"/>
      </w:r>
    </w:p>
    <w:p w14:paraId="5D8F7C92">
      <w:pPr>
        <w:pStyle w:val="12"/>
        <w:tabs>
          <w:tab w:val="right" w:leader="dot" w:pos="8296"/>
        </w:tabs>
        <w:ind w:left="480" w:firstLine="480"/>
        <w:rPr>
          <w:rFonts w:ascii="Calibri" w:hAnsi="Calibri"/>
          <w:sz w:val="21"/>
        </w:rPr>
      </w:pPr>
      <w:r>
        <w:fldChar w:fldCharType="begin"/>
      </w:r>
      <w:r>
        <w:instrText xml:space="preserve"> HYPERLINK \l "_Toc508698453" </w:instrText>
      </w:r>
      <w:r>
        <w:fldChar w:fldCharType="separate"/>
      </w:r>
      <w:r>
        <w:rPr>
          <w:rStyle w:val="18"/>
          <w:rFonts w:hint="eastAsia"/>
        </w:rPr>
        <w:t>第三节规划期及基准期</w:t>
      </w:r>
      <w:r>
        <w:tab/>
      </w:r>
      <w:r>
        <w:fldChar w:fldCharType="begin"/>
      </w:r>
      <w:r>
        <w:instrText xml:space="preserve"> PAGEREF _Toc508698453 \h </w:instrText>
      </w:r>
      <w:r>
        <w:fldChar w:fldCharType="separate"/>
      </w:r>
      <w:r>
        <w:t>2</w:t>
      </w:r>
      <w:r>
        <w:fldChar w:fldCharType="end"/>
      </w:r>
      <w:r>
        <w:fldChar w:fldCharType="end"/>
      </w:r>
    </w:p>
    <w:p w14:paraId="0A12BA68">
      <w:pPr>
        <w:pStyle w:val="11"/>
        <w:rPr>
          <w:rFonts w:ascii="Calibri" w:hAnsi="Calibri"/>
          <w:b w:val="0"/>
          <w:sz w:val="21"/>
          <w:szCs w:val="22"/>
        </w:rPr>
      </w:pPr>
      <w:r>
        <w:fldChar w:fldCharType="begin"/>
      </w:r>
      <w:r>
        <w:instrText xml:space="preserve"> HYPERLINK \l "_Toc508698454" </w:instrText>
      </w:r>
      <w:r>
        <w:fldChar w:fldCharType="separate"/>
      </w:r>
      <w:r>
        <w:rPr>
          <w:rStyle w:val="18"/>
          <w:rFonts w:hint="eastAsia"/>
        </w:rPr>
        <w:t>第二章现状与形势</w:t>
      </w:r>
      <w:r>
        <w:tab/>
      </w:r>
      <w:r>
        <w:fldChar w:fldCharType="begin"/>
      </w:r>
      <w:r>
        <w:instrText xml:space="preserve"> PAGEREF _Toc508698454 \h </w:instrText>
      </w:r>
      <w:r>
        <w:fldChar w:fldCharType="separate"/>
      </w:r>
      <w:r>
        <w:t>3</w:t>
      </w:r>
      <w:r>
        <w:fldChar w:fldCharType="end"/>
      </w:r>
      <w:r>
        <w:fldChar w:fldCharType="end"/>
      </w:r>
    </w:p>
    <w:p w14:paraId="7002D481">
      <w:pPr>
        <w:pStyle w:val="12"/>
        <w:tabs>
          <w:tab w:val="right" w:leader="dot" w:pos="8296"/>
        </w:tabs>
        <w:ind w:left="480" w:firstLine="480"/>
        <w:rPr>
          <w:rFonts w:ascii="Calibri" w:hAnsi="Calibri"/>
          <w:sz w:val="21"/>
        </w:rPr>
      </w:pPr>
      <w:r>
        <w:fldChar w:fldCharType="begin"/>
      </w:r>
      <w:r>
        <w:instrText xml:space="preserve"> HYPERLINK \l "_Toc508698455" </w:instrText>
      </w:r>
      <w:r>
        <w:fldChar w:fldCharType="separate"/>
      </w:r>
      <w:r>
        <w:rPr>
          <w:rStyle w:val="18"/>
          <w:rFonts w:hint="eastAsia"/>
        </w:rPr>
        <w:t>第一节矿产资源概况及开发利用现状</w:t>
      </w:r>
      <w:r>
        <w:tab/>
      </w:r>
      <w:r>
        <w:fldChar w:fldCharType="begin"/>
      </w:r>
      <w:r>
        <w:instrText xml:space="preserve"> PAGEREF _Toc508698455 \h </w:instrText>
      </w:r>
      <w:r>
        <w:fldChar w:fldCharType="separate"/>
      </w:r>
      <w:r>
        <w:t>3</w:t>
      </w:r>
      <w:r>
        <w:fldChar w:fldCharType="end"/>
      </w:r>
      <w:r>
        <w:fldChar w:fldCharType="end"/>
      </w:r>
    </w:p>
    <w:p w14:paraId="1503B779">
      <w:pPr>
        <w:pStyle w:val="12"/>
        <w:tabs>
          <w:tab w:val="right" w:leader="dot" w:pos="8296"/>
        </w:tabs>
        <w:ind w:left="480" w:firstLine="480"/>
        <w:rPr>
          <w:rFonts w:ascii="Calibri" w:hAnsi="Calibri"/>
          <w:sz w:val="21"/>
        </w:rPr>
      </w:pPr>
      <w:r>
        <w:fldChar w:fldCharType="begin"/>
      </w:r>
      <w:r>
        <w:instrText xml:space="preserve"> HYPERLINK \l "_Toc508698456" </w:instrText>
      </w:r>
      <w:r>
        <w:fldChar w:fldCharType="separate"/>
      </w:r>
      <w:r>
        <w:rPr>
          <w:rStyle w:val="18"/>
          <w:rFonts w:hint="eastAsia"/>
        </w:rPr>
        <w:t>第二节形势与需求</w:t>
      </w:r>
      <w:r>
        <w:tab/>
      </w:r>
      <w:r>
        <w:fldChar w:fldCharType="begin"/>
      </w:r>
      <w:r>
        <w:instrText xml:space="preserve"> PAGEREF _Toc508698456 \h </w:instrText>
      </w:r>
      <w:r>
        <w:fldChar w:fldCharType="separate"/>
      </w:r>
      <w:r>
        <w:t>5</w:t>
      </w:r>
      <w:r>
        <w:fldChar w:fldCharType="end"/>
      </w:r>
      <w:r>
        <w:fldChar w:fldCharType="end"/>
      </w:r>
    </w:p>
    <w:p w14:paraId="2A43C83E">
      <w:pPr>
        <w:pStyle w:val="11"/>
        <w:rPr>
          <w:rFonts w:ascii="Calibri" w:hAnsi="Calibri"/>
          <w:b w:val="0"/>
          <w:sz w:val="21"/>
          <w:szCs w:val="22"/>
        </w:rPr>
      </w:pPr>
      <w:r>
        <w:fldChar w:fldCharType="begin"/>
      </w:r>
      <w:r>
        <w:instrText xml:space="preserve"> HYPERLINK \l "_Toc508698457" </w:instrText>
      </w:r>
      <w:r>
        <w:fldChar w:fldCharType="separate"/>
      </w:r>
      <w:r>
        <w:rPr>
          <w:rStyle w:val="18"/>
          <w:rFonts w:hint="eastAsia"/>
        </w:rPr>
        <w:t>第三章指导原则与目标</w:t>
      </w:r>
      <w:r>
        <w:tab/>
      </w:r>
      <w:r>
        <w:fldChar w:fldCharType="begin"/>
      </w:r>
      <w:r>
        <w:instrText xml:space="preserve"> PAGEREF _Toc508698457 \h </w:instrText>
      </w:r>
      <w:r>
        <w:fldChar w:fldCharType="separate"/>
      </w:r>
      <w:r>
        <w:t>6</w:t>
      </w:r>
      <w:r>
        <w:fldChar w:fldCharType="end"/>
      </w:r>
      <w:r>
        <w:fldChar w:fldCharType="end"/>
      </w:r>
    </w:p>
    <w:p w14:paraId="2A29C442">
      <w:pPr>
        <w:pStyle w:val="12"/>
        <w:tabs>
          <w:tab w:val="right" w:leader="dot" w:pos="8296"/>
        </w:tabs>
        <w:ind w:left="480" w:firstLine="480"/>
        <w:rPr>
          <w:rFonts w:ascii="Calibri" w:hAnsi="Calibri"/>
          <w:sz w:val="21"/>
        </w:rPr>
      </w:pPr>
      <w:r>
        <w:fldChar w:fldCharType="begin"/>
      </w:r>
      <w:r>
        <w:instrText xml:space="preserve"> HYPERLINK \l "_Toc508698458" </w:instrText>
      </w:r>
      <w:r>
        <w:fldChar w:fldCharType="separate"/>
      </w:r>
      <w:r>
        <w:rPr>
          <w:rStyle w:val="18"/>
          <w:rFonts w:hint="eastAsia"/>
        </w:rPr>
        <w:t>第一节指导原则</w:t>
      </w:r>
      <w:r>
        <w:tab/>
      </w:r>
      <w:r>
        <w:fldChar w:fldCharType="begin"/>
      </w:r>
      <w:r>
        <w:instrText xml:space="preserve"> PAGEREF _Toc508698458 \h </w:instrText>
      </w:r>
      <w:r>
        <w:fldChar w:fldCharType="separate"/>
      </w:r>
      <w:r>
        <w:t>6</w:t>
      </w:r>
      <w:r>
        <w:fldChar w:fldCharType="end"/>
      </w:r>
      <w:r>
        <w:fldChar w:fldCharType="end"/>
      </w:r>
    </w:p>
    <w:p w14:paraId="29EED9F4">
      <w:pPr>
        <w:pStyle w:val="12"/>
        <w:tabs>
          <w:tab w:val="right" w:leader="dot" w:pos="8296"/>
        </w:tabs>
        <w:ind w:left="480" w:firstLine="480"/>
        <w:rPr>
          <w:rFonts w:ascii="Calibri" w:hAnsi="Calibri"/>
          <w:sz w:val="21"/>
        </w:rPr>
      </w:pPr>
      <w:r>
        <w:fldChar w:fldCharType="begin"/>
      </w:r>
      <w:r>
        <w:instrText xml:space="preserve"> HYPERLINK \l "_Toc508698459" </w:instrText>
      </w:r>
      <w:r>
        <w:fldChar w:fldCharType="separate"/>
      </w:r>
      <w:r>
        <w:rPr>
          <w:rStyle w:val="18"/>
          <w:rFonts w:hint="eastAsia"/>
        </w:rPr>
        <w:t>第二节规划目标</w:t>
      </w:r>
      <w:r>
        <w:tab/>
      </w:r>
      <w:r>
        <w:fldChar w:fldCharType="begin"/>
      </w:r>
      <w:r>
        <w:instrText xml:space="preserve"> PAGEREF _Toc508698459 \h </w:instrText>
      </w:r>
      <w:r>
        <w:fldChar w:fldCharType="separate"/>
      </w:r>
      <w:r>
        <w:t>7</w:t>
      </w:r>
      <w:r>
        <w:fldChar w:fldCharType="end"/>
      </w:r>
      <w:r>
        <w:fldChar w:fldCharType="end"/>
      </w:r>
    </w:p>
    <w:p w14:paraId="68990AFD">
      <w:pPr>
        <w:pStyle w:val="11"/>
        <w:rPr>
          <w:rFonts w:ascii="Calibri" w:hAnsi="Calibri"/>
          <w:b w:val="0"/>
          <w:sz w:val="21"/>
          <w:szCs w:val="22"/>
        </w:rPr>
      </w:pPr>
      <w:r>
        <w:fldChar w:fldCharType="begin"/>
      </w:r>
      <w:r>
        <w:instrText xml:space="preserve"> HYPERLINK \l "_Toc508698460" </w:instrText>
      </w:r>
      <w:r>
        <w:fldChar w:fldCharType="separate"/>
      </w:r>
      <w:r>
        <w:rPr>
          <w:rStyle w:val="18"/>
          <w:rFonts w:hint="eastAsia"/>
        </w:rPr>
        <w:t>第四章</w:t>
      </w:r>
      <w:r>
        <w:rPr>
          <w:rStyle w:val="18"/>
        </w:rPr>
        <w:t xml:space="preserve">  </w:t>
      </w:r>
      <w:r>
        <w:rPr>
          <w:rStyle w:val="18"/>
          <w:rFonts w:hint="eastAsia"/>
        </w:rPr>
        <w:t>矿产开发与资源产业布局</w:t>
      </w:r>
      <w:r>
        <w:tab/>
      </w:r>
      <w:r>
        <w:fldChar w:fldCharType="begin"/>
      </w:r>
      <w:r>
        <w:instrText xml:space="preserve"> PAGEREF _Toc508698460 \h </w:instrText>
      </w:r>
      <w:r>
        <w:fldChar w:fldCharType="separate"/>
      </w:r>
      <w:r>
        <w:t>11</w:t>
      </w:r>
      <w:r>
        <w:fldChar w:fldCharType="end"/>
      </w:r>
      <w:r>
        <w:fldChar w:fldCharType="end"/>
      </w:r>
    </w:p>
    <w:p w14:paraId="21CBF0A9">
      <w:pPr>
        <w:pStyle w:val="12"/>
        <w:tabs>
          <w:tab w:val="right" w:leader="dot" w:pos="8296"/>
        </w:tabs>
        <w:ind w:left="480" w:firstLine="480"/>
        <w:rPr>
          <w:rFonts w:ascii="Calibri" w:hAnsi="Calibri"/>
          <w:sz w:val="21"/>
        </w:rPr>
      </w:pPr>
      <w:r>
        <w:fldChar w:fldCharType="begin"/>
      </w:r>
      <w:r>
        <w:instrText xml:space="preserve"> HYPERLINK \l "_Toc508698461" </w:instrText>
      </w:r>
      <w:r>
        <w:fldChar w:fldCharType="separate"/>
      </w:r>
      <w:r>
        <w:rPr>
          <w:rStyle w:val="18"/>
          <w:rFonts w:hint="eastAsia"/>
        </w:rPr>
        <w:t>第一节</w:t>
      </w:r>
      <w:r>
        <w:rPr>
          <w:rStyle w:val="18"/>
        </w:rPr>
        <w:t xml:space="preserve">  </w:t>
      </w:r>
      <w:r>
        <w:rPr>
          <w:rStyle w:val="18"/>
          <w:rFonts w:hint="eastAsia"/>
        </w:rPr>
        <w:t>矿产资源勘查开发调控方向</w:t>
      </w:r>
      <w:r>
        <w:tab/>
      </w:r>
      <w:r>
        <w:fldChar w:fldCharType="begin"/>
      </w:r>
      <w:r>
        <w:instrText xml:space="preserve"> PAGEREF _Toc508698461 \h </w:instrText>
      </w:r>
      <w:r>
        <w:fldChar w:fldCharType="separate"/>
      </w:r>
      <w:r>
        <w:t>11</w:t>
      </w:r>
      <w:r>
        <w:fldChar w:fldCharType="end"/>
      </w:r>
      <w:r>
        <w:fldChar w:fldCharType="end"/>
      </w:r>
    </w:p>
    <w:p w14:paraId="6A317F2A">
      <w:pPr>
        <w:pStyle w:val="12"/>
        <w:tabs>
          <w:tab w:val="right" w:leader="dot" w:pos="8296"/>
        </w:tabs>
        <w:ind w:left="480" w:firstLine="480"/>
        <w:rPr>
          <w:rFonts w:ascii="Calibri" w:hAnsi="Calibri"/>
          <w:sz w:val="21"/>
        </w:rPr>
      </w:pPr>
      <w:r>
        <w:fldChar w:fldCharType="begin"/>
      </w:r>
      <w:r>
        <w:instrText xml:space="preserve"> HYPERLINK \l "_Toc508698462" </w:instrText>
      </w:r>
      <w:r>
        <w:fldChar w:fldCharType="separate"/>
      </w:r>
      <w:r>
        <w:rPr>
          <w:rStyle w:val="18"/>
          <w:rFonts w:hint="eastAsia"/>
        </w:rPr>
        <w:t>第二节</w:t>
      </w:r>
      <w:r>
        <w:rPr>
          <w:rStyle w:val="18"/>
        </w:rPr>
        <w:t xml:space="preserve">  </w:t>
      </w:r>
      <w:r>
        <w:rPr>
          <w:rStyle w:val="18"/>
          <w:rFonts w:hint="eastAsia"/>
        </w:rPr>
        <w:t>矿产资源产业重点发展区域</w:t>
      </w:r>
      <w:r>
        <w:tab/>
      </w:r>
      <w:r>
        <w:fldChar w:fldCharType="begin"/>
      </w:r>
      <w:r>
        <w:instrText xml:space="preserve"> PAGEREF _Toc508698462 \h </w:instrText>
      </w:r>
      <w:r>
        <w:fldChar w:fldCharType="separate"/>
      </w:r>
      <w:r>
        <w:t>14</w:t>
      </w:r>
      <w:r>
        <w:fldChar w:fldCharType="end"/>
      </w:r>
      <w:r>
        <w:fldChar w:fldCharType="end"/>
      </w:r>
    </w:p>
    <w:p w14:paraId="1F771B74">
      <w:pPr>
        <w:pStyle w:val="12"/>
        <w:tabs>
          <w:tab w:val="right" w:leader="dot" w:pos="8296"/>
        </w:tabs>
        <w:ind w:left="480" w:firstLine="480"/>
        <w:rPr>
          <w:rFonts w:ascii="Calibri" w:hAnsi="Calibri"/>
          <w:sz w:val="21"/>
        </w:rPr>
      </w:pPr>
      <w:r>
        <w:fldChar w:fldCharType="begin"/>
      </w:r>
      <w:r>
        <w:instrText xml:space="preserve"> HYPERLINK \l "_Toc508698463" </w:instrText>
      </w:r>
      <w:r>
        <w:fldChar w:fldCharType="separate"/>
      </w:r>
      <w:r>
        <w:rPr>
          <w:rStyle w:val="18"/>
          <w:rFonts w:hint="eastAsia"/>
        </w:rPr>
        <w:t>第三节</w:t>
      </w:r>
      <w:r>
        <w:rPr>
          <w:rStyle w:val="18"/>
        </w:rPr>
        <w:t xml:space="preserve">  </w:t>
      </w:r>
      <w:r>
        <w:rPr>
          <w:rStyle w:val="18"/>
          <w:rFonts w:hint="eastAsia"/>
        </w:rPr>
        <w:t>矿业布局优化调整</w:t>
      </w:r>
      <w:r>
        <w:tab/>
      </w:r>
      <w:r>
        <w:fldChar w:fldCharType="begin"/>
      </w:r>
      <w:r>
        <w:instrText xml:space="preserve"> PAGEREF _Toc508698463 \h </w:instrText>
      </w:r>
      <w:r>
        <w:fldChar w:fldCharType="separate"/>
      </w:r>
      <w:r>
        <w:t>14</w:t>
      </w:r>
      <w:r>
        <w:fldChar w:fldCharType="end"/>
      </w:r>
      <w:r>
        <w:fldChar w:fldCharType="end"/>
      </w:r>
    </w:p>
    <w:p w14:paraId="7B5DA8D9">
      <w:pPr>
        <w:pStyle w:val="11"/>
        <w:rPr>
          <w:rFonts w:ascii="Calibri" w:hAnsi="Calibri"/>
          <w:b w:val="0"/>
          <w:sz w:val="21"/>
          <w:szCs w:val="22"/>
        </w:rPr>
      </w:pPr>
      <w:r>
        <w:fldChar w:fldCharType="begin"/>
      </w:r>
      <w:r>
        <w:instrText xml:space="preserve"> HYPERLINK \l "_Toc508698464" </w:instrText>
      </w:r>
      <w:r>
        <w:fldChar w:fldCharType="separate"/>
      </w:r>
      <w:r>
        <w:rPr>
          <w:rStyle w:val="18"/>
          <w:rFonts w:hint="eastAsia"/>
        </w:rPr>
        <w:t>第五章</w:t>
      </w:r>
      <w:r>
        <w:rPr>
          <w:rStyle w:val="18"/>
        </w:rPr>
        <w:t xml:space="preserve">  </w:t>
      </w:r>
      <w:r>
        <w:rPr>
          <w:rStyle w:val="18"/>
          <w:rFonts w:hint="eastAsia"/>
        </w:rPr>
        <w:t>严格规范砂石粘土</w:t>
      </w:r>
      <w:r>
        <w:rPr>
          <w:rStyle w:val="18"/>
        </w:rPr>
        <w:t>/</w:t>
      </w:r>
      <w:r>
        <w:rPr>
          <w:rStyle w:val="18"/>
          <w:rFonts w:hint="eastAsia"/>
        </w:rPr>
        <w:t>小型非金属矿产资源开发管理</w:t>
      </w:r>
      <w:r>
        <w:tab/>
      </w:r>
      <w:r>
        <w:fldChar w:fldCharType="begin"/>
      </w:r>
      <w:r>
        <w:instrText xml:space="preserve"> PAGEREF _Toc508698464 \h </w:instrText>
      </w:r>
      <w:r>
        <w:fldChar w:fldCharType="separate"/>
      </w:r>
      <w:r>
        <w:t>18</w:t>
      </w:r>
      <w:r>
        <w:fldChar w:fldCharType="end"/>
      </w:r>
      <w:r>
        <w:fldChar w:fldCharType="end"/>
      </w:r>
    </w:p>
    <w:p w14:paraId="2151C9B8">
      <w:pPr>
        <w:pStyle w:val="12"/>
        <w:tabs>
          <w:tab w:val="right" w:leader="dot" w:pos="8296"/>
        </w:tabs>
        <w:ind w:left="480" w:firstLine="480"/>
        <w:rPr>
          <w:rFonts w:ascii="Calibri" w:hAnsi="Calibri"/>
          <w:sz w:val="21"/>
        </w:rPr>
      </w:pPr>
      <w:r>
        <w:fldChar w:fldCharType="begin"/>
      </w:r>
      <w:r>
        <w:instrText xml:space="preserve"> HYPERLINK \l "_Toc508698465" </w:instrText>
      </w:r>
      <w:r>
        <w:fldChar w:fldCharType="separate"/>
      </w:r>
      <w:r>
        <w:rPr>
          <w:rStyle w:val="18"/>
          <w:rFonts w:hint="eastAsia"/>
        </w:rPr>
        <w:t>第一节</w:t>
      </w:r>
      <w:r>
        <w:rPr>
          <w:rStyle w:val="18"/>
        </w:rPr>
        <w:t xml:space="preserve">  </w:t>
      </w:r>
      <w:r>
        <w:rPr>
          <w:rStyle w:val="18"/>
          <w:rFonts w:hint="eastAsia"/>
        </w:rPr>
        <w:t>合理调控开采总量</w:t>
      </w:r>
      <w:r>
        <w:tab/>
      </w:r>
      <w:r>
        <w:fldChar w:fldCharType="begin"/>
      </w:r>
      <w:r>
        <w:instrText xml:space="preserve"> PAGEREF _Toc508698465 \h </w:instrText>
      </w:r>
      <w:r>
        <w:fldChar w:fldCharType="separate"/>
      </w:r>
      <w:r>
        <w:t>18</w:t>
      </w:r>
      <w:r>
        <w:fldChar w:fldCharType="end"/>
      </w:r>
      <w:r>
        <w:fldChar w:fldCharType="end"/>
      </w:r>
    </w:p>
    <w:p w14:paraId="66068E53">
      <w:pPr>
        <w:pStyle w:val="12"/>
        <w:tabs>
          <w:tab w:val="right" w:leader="dot" w:pos="8296"/>
        </w:tabs>
        <w:ind w:left="480" w:firstLine="480"/>
        <w:rPr>
          <w:rFonts w:ascii="Calibri" w:hAnsi="Calibri"/>
          <w:sz w:val="21"/>
        </w:rPr>
      </w:pPr>
      <w:r>
        <w:fldChar w:fldCharType="begin"/>
      </w:r>
      <w:r>
        <w:instrText xml:space="preserve"> HYPERLINK \l "_Toc508698466" </w:instrText>
      </w:r>
      <w:r>
        <w:fldChar w:fldCharType="separate"/>
      </w:r>
      <w:r>
        <w:rPr>
          <w:rStyle w:val="18"/>
          <w:rFonts w:hint="eastAsia"/>
        </w:rPr>
        <w:t>第二节</w:t>
      </w:r>
      <w:r>
        <w:rPr>
          <w:rStyle w:val="18"/>
        </w:rPr>
        <w:t xml:space="preserve">  </w:t>
      </w:r>
      <w:r>
        <w:rPr>
          <w:rStyle w:val="18"/>
          <w:rFonts w:hint="eastAsia"/>
        </w:rPr>
        <w:t>优化资源开采布局</w:t>
      </w:r>
      <w:r>
        <w:tab/>
      </w:r>
      <w:r>
        <w:fldChar w:fldCharType="begin"/>
      </w:r>
      <w:r>
        <w:instrText xml:space="preserve"> PAGEREF _Toc508698466 \h </w:instrText>
      </w:r>
      <w:r>
        <w:fldChar w:fldCharType="separate"/>
      </w:r>
      <w:r>
        <w:t>19</w:t>
      </w:r>
      <w:r>
        <w:fldChar w:fldCharType="end"/>
      </w:r>
      <w:r>
        <w:fldChar w:fldCharType="end"/>
      </w:r>
    </w:p>
    <w:p w14:paraId="5462E0A5">
      <w:pPr>
        <w:pStyle w:val="12"/>
        <w:tabs>
          <w:tab w:val="right" w:leader="dot" w:pos="8296"/>
        </w:tabs>
        <w:ind w:left="480" w:firstLine="480"/>
        <w:rPr>
          <w:rFonts w:ascii="Calibri" w:hAnsi="Calibri"/>
          <w:sz w:val="21"/>
        </w:rPr>
      </w:pPr>
      <w:r>
        <w:fldChar w:fldCharType="begin"/>
      </w:r>
      <w:r>
        <w:instrText xml:space="preserve"> HYPERLINK \l "_Toc508698467" </w:instrText>
      </w:r>
      <w:r>
        <w:fldChar w:fldCharType="separate"/>
      </w:r>
      <w:r>
        <w:rPr>
          <w:rStyle w:val="18"/>
          <w:rFonts w:hint="eastAsia"/>
        </w:rPr>
        <w:t>第三节</w:t>
      </w:r>
      <w:r>
        <w:rPr>
          <w:rStyle w:val="18"/>
        </w:rPr>
        <w:t xml:space="preserve">  </w:t>
      </w:r>
      <w:r>
        <w:rPr>
          <w:rStyle w:val="18"/>
          <w:rFonts w:hint="eastAsia"/>
        </w:rPr>
        <w:t>严格开采规划准入管理</w:t>
      </w:r>
      <w:r>
        <w:tab/>
      </w:r>
      <w:r>
        <w:fldChar w:fldCharType="begin"/>
      </w:r>
      <w:r>
        <w:instrText xml:space="preserve"> PAGEREF _Toc508698467 \h </w:instrText>
      </w:r>
      <w:r>
        <w:fldChar w:fldCharType="separate"/>
      </w:r>
      <w:r>
        <w:t>19</w:t>
      </w:r>
      <w:r>
        <w:fldChar w:fldCharType="end"/>
      </w:r>
      <w:r>
        <w:fldChar w:fldCharType="end"/>
      </w:r>
    </w:p>
    <w:p w14:paraId="2081612B">
      <w:pPr>
        <w:pStyle w:val="11"/>
        <w:rPr>
          <w:rFonts w:ascii="Calibri" w:hAnsi="Calibri"/>
          <w:b w:val="0"/>
          <w:sz w:val="21"/>
          <w:szCs w:val="22"/>
        </w:rPr>
      </w:pPr>
      <w:r>
        <w:fldChar w:fldCharType="begin"/>
      </w:r>
      <w:r>
        <w:instrText xml:space="preserve"> HYPERLINK \l "_Toc508698468" </w:instrText>
      </w:r>
      <w:r>
        <w:fldChar w:fldCharType="separate"/>
      </w:r>
      <w:r>
        <w:rPr>
          <w:rStyle w:val="18"/>
          <w:rFonts w:hint="eastAsia"/>
        </w:rPr>
        <w:t>第六章</w:t>
      </w:r>
      <w:r>
        <w:rPr>
          <w:rStyle w:val="18"/>
        </w:rPr>
        <w:t xml:space="preserve">  </w:t>
      </w:r>
      <w:r>
        <w:rPr>
          <w:rStyle w:val="18"/>
          <w:rFonts w:hint="eastAsia"/>
        </w:rPr>
        <w:t>加强矿山地质环境保护与治理</w:t>
      </w:r>
      <w:r>
        <w:tab/>
      </w:r>
      <w:r>
        <w:fldChar w:fldCharType="begin"/>
      </w:r>
      <w:r>
        <w:instrText xml:space="preserve"> PAGEREF _Toc508698468 \h </w:instrText>
      </w:r>
      <w:r>
        <w:fldChar w:fldCharType="separate"/>
      </w:r>
      <w:r>
        <w:t>20</w:t>
      </w:r>
      <w:r>
        <w:fldChar w:fldCharType="end"/>
      </w:r>
      <w:r>
        <w:fldChar w:fldCharType="end"/>
      </w:r>
    </w:p>
    <w:p w14:paraId="27F5E298">
      <w:pPr>
        <w:pStyle w:val="12"/>
        <w:tabs>
          <w:tab w:val="right" w:leader="dot" w:pos="8296"/>
        </w:tabs>
        <w:ind w:left="480" w:firstLine="480"/>
        <w:rPr>
          <w:rFonts w:ascii="Calibri" w:hAnsi="Calibri"/>
          <w:sz w:val="21"/>
        </w:rPr>
      </w:pPr>
      <w:r>
        <w:fldChar w:fldCharType="begin"/>
      </w:r>
      <w:r>
        <w:instrText xml:space="preserve"> HYPERLINK \l "_Toc508698469" </w:instrText>
      </w:r>
      <w:r>
        <w:fldChar w:fldCharType="separate"/>
      </w:r>
      <w:r>
        <w:rPr>
          <w:rStyle w:val="18"/>
          <w:rFonts w:hint="eastAsia"/>
        </w:rPr>
        <w:t>第一节</w:t>
      </w:r>
      <w:r>
        <w:rPr>
          <w:rStyle w:val="18"/>
        </w:rPr>
        <w:t xml:space="preserve">  </w:t>
      </w:r>
      <w:r>
        <w:rPr>
          <w:rStyle w:val="18"/>
          <w:rFonts w:hint="eastAsia"/>
        </w:rPr>
        <w:t>加强矿山地质环境保护</w:t>
      </w:r>
      <w:r>
        <w:tab/>
      </w:r>
      <w:r>
        <w:fldChar w:fldCharType="begin"/>
      </w:r>
      <w:r>
        <w:instrText xml:space="preserve"> PAGEREF _Toc508698469 \h </w:instrText>
      </w:r>
      <w:r>
        <w:fldChar w:fldCharType="separate"/>
      </w:r>
      <w:r>
        <w:t>20</w:t>
      </w:r>
      <w:r>
        <w:fldChar w:fldCharType="end"/>
      </w:r>
      <w:r>
        <w:fldChar w:fldCharType="end"/>
      </w:r>
    </w:p>
    <w:p w14:paraId="4D4A0167">
      <w:pPr>
        <w:pStyle w:val="12"/>
        <w:tabs>
          <w:tab w:val="right" w:leader="dot" w:pos="8296"/>
        </w:tabs>
        <w:ind w:left="480" w:firstLine="480"/>
        <w:rPr>
          <w:rFonts w:ascii="Calibri" w:hAnsi="Calibri"/>
          <w:sz w:val="21"/>
        </w:rPr>
      </w:pPr>
      <w:r>
        <w:fldChar w:fldCharType="begin"/>
      </w:r>
      <w:r>
        <w:instrText xml:space="preserve"> HYPERLINK \l "_Toc508698470" </w:instrText>
      </w:r>
      <w:r>
        <w:fldChar w:fldCharType="separate"/>
      </w:r>
      <w:r>
        <w:rPr>
          <w:rStyle w:val="18"/>
          <w:rFonts w:hint="eastAsia"/>
        </w:rPr>
        <w:t>第二节</w:t>
      </w:r>
      <w:r>
        <w:rPr>
          <w:rStyle w:val="18"/>
        </w:rPr>
        <w:t xml:space="preserve">  </w:t>
      </w:r>
      <w:r>
        <w:rPr>
          <w:rStyle w:val="18"/>
          <w:rFonts w:hint="eastAsia"/>
        </w:rPr>
        <w:t>实施矿山地质环境治理重点项目</w:t>
      </w:r>
      <w:r>
        <w:tab/>
      </w:r>
      <w:r>
        <w:fldChar w:fldCharType="begin"/>
      </w:r>
      <w:r>
        <w:instrText xml:space="preserve"> PAGEREF _Toc508698470 \h </w:instrText>
      </w:r>
      <w:r>
        <w:fldChar w:fldCharType="separate"/>
      </w:r>
      <w:r>
        <w:t>21</w:t>
      </w:r>
      <w:r>
        <w:fldChar w:fldCharType="end"/>
      </w:r>
      <w:r>
        <w:fldChar w:fldCharType="end"/>
      </w:r>
    </w:p>
    <w:p w14:paraId="7B79C70E">
      <w:pPr>
        <w:pStyle w:val="12"/>
        <w:tabs>
          <w:tab w:val="right" w:leader="dot" w:pos="8296"/>
        </w:tabs>
        <w:ind w:left="480" w:firstLine="480"/>
        <w:rPr>
          <w:rFonts w:ascii="Calibri" w:hAnsi="Calibri"/>
          <w:sz w:val="21"/>
        </w:rPr>
      </w:pPr>
      <w:r>
        <w:fldChar w:fldCharType="begin"/>
      </w:r>
      <w:r>
        <w:instrText xml:space="preserve"> HYPERLINK \l "_Toc508698471" </w:instrText>
      </w:r>
      <w:r>
        <w:fldChar w:fldCharType="separate"/>
      </w:r>
      <w:r>
        <w:rPr>
          <w:rStyle w:val="18"/>
          <w:rFonts w:hint="eastAsia"/>
        </w:rPr>
        <w:t>第三节</w:t>
      </w:r>
      <w:r>
        <w:rPr>
          <w:rStyle w:val="18"/>
        </w:rPr>
        <w:t xml:space="preserve">  </w:t>
      </w:r>
      <w:r>
        <w:rPr>
          <w:rStyle w:val="18"/>
          <w:rFonts w:hint="eastAsia"/>
        </w:rPr>
        <w:t>创建矿山地质环境治理恢复工作机制</w:t>
      </w:r>
      <w:r>
        <w:tab/>
      </w:r>
      <w:r>
        <w:fldChar w:fldCharType="begin"/>
      </w:r>
      <w:r>
        <w:instrText xml:space="preserve"> PAGEREF _Toc508698471 \h </w:instrText>
      </w:r>
      <w:r>
        <w:fldChar w:fldCharType="separate"/>
      </w:r>
      <w:r>
        <w:t>23</w:t>
      </w:r>
      <w:r>
        <w:fldChar w:fldCharType="end"/>
      </w:r>
      <w:r>
        <w:fldChar w:fldCharType="end"/>
      </w:r>
    </w:p>
    <w:p w14:paraId="0FCD5097">
      <w:pPr>
        <w:pStyle w:val="11"/>
        <w:rPr>
          <w:rFonts w:ascii="Calibri" w:hAnsi="Calibri"/>
          <w:b w:val="0"/>
          <w:sz w:val="21"/>
          <w:szCs w:val="22"/>
        </w:rPr>
      </w:pPr>
      <w:r>
        <w:fldChar w:fldCharType="begin"/>
      </w:r>
      <w:r>
        <w:instrText xml:space="preserve"> HYPERLINK \l "_Toc508698472" </w:instrText>
      </w:r>
      <w:r>
        <w:fldChar w:fldCharType="separate"/>
      </w:r>
      <w:r>
        <w:rPr>
          <w:rStyle w:val="18"/>
          <w:rFonts w:hint="eastAsia"/>
        </w:rPr>
        <w:t>第七章</w:t>
      </w:r>
      <w:r>
        <w:rPr>
          <w:rStyle w:val="18"/>
        </w:rPr>
        <w:t xml:space="preserve">  </w:t>
      </w:r>
      <w:r>
        <w:rPr>
          <w:rStyle w:val="18"/>
          <w:rFonts w:hint="eastAsia"/>
        </w:rPr>
        <w:t>积极发展绿色矿业</w:t>
      </w:r>
      <w:r>
        <w:tab/>
      </w:r>
      <w:r>
        <w:fldChar w:fldCharType="begin"/>
      </w:r>
      <w:r>
        <w:instrText xml:space="preserve"> PAGEREF _Toc508698472 \h </w:instrText>
      </w:r>
      <w:r>
        <w:fldChar w:fldCharType="separate"/>
      </w:r>
      <w:r>
        <w:t>24</w:t>
      </w:r>
      <w:r>
        <w:fldChar w:fldCharType="end"/>
      </w:r>
      <w:r>
        <w:fldChar w:fldCharType="end"/>
      </w:r>
    </w:p>
    <w:p w14:paraId="5A96A868">
      <w:pPr>
        <w:pStyle w:val="11"/>
        <w:rPr>
          <w:rFonts w:ascii="Calibri" w:hAnsi="Calibri"/>
          <w:b w:val="0"/>
          <w:sz w:val="21"/>
          <w:szCs w:val="22"/>
        </w:rPr>
      </w:pPr>
      <w:r>
        <w:fldChar w:fldCharType="begin"/>
      </w:r>
      <w:r>
        <w:instrText xml:space="preserve"> HYPERLINK \l "_Toc508698473" </w:instrText>
      </w:r>
      <w:r>
        <w:fldChar w:fldCharType="separate"/>
      </w:r>
      <w:r>
        <w:rPr>
          <w:rStyle w:val="18"/>
          <w:rFonts w:hint="eastAsia"/>
        </w:rPr>
        <w:t>第八章</w:t>
      </w:r>
      <w:r>
        <w:rPr>
          <w:rStyle w:val="18"/>
        </w:rPr>
        <w:t xml:space="preserve">  </w:t>
      </w:r>
      <w:r>
        <w:rPr>
          <w:rStyle w:val="18"/>
          <w:rFonts w:hint="eastAsia"/>
        </w:rPr>
        <w:t>矿业权设置区划及监督管理</w:t>
      </w:r>
      <w:r>
        <w:tab/>
      </w:r>
      <w:r>
        <w:fldChar w:fldCharType="begin"/>
      </w:r>
      <w:r>
        <w:instrText xml:space="preserve"> PAGEREF _Toc508698473 \h </w:instrText>
      </w:r>
      <w:r>
        <w:fldChar w:fldCharType="separate"/>
      </w:r>
      <w:r>
        <w:t>25</w:t>
      </w:r>
      <w:r>
        <w:fldChar w:fldCharType="end"/>
      </w:r>
      <w:r>
        <w:fldChar w:fldCharType="end"/>
      </w:r>
    </w:p>
    <w:p w14:paraId="42DD623C">
      <w:pPr>
        <w:pStyle w:val="12"/>
        <w:tabs>
          <w:tab w:val="right" w:leader="dot" w:pos="8296"/>
        </w:tabs>
        <w:ind w:left="480" w:firstLine="480"/>
        <w:rPr>
          <w:rFonts w:ascii="Calibri" w:hAnsi="Calibri"/>
          <w:sz w:val="21"/>
        </w:rPr>
      </w:pPr>
      <w:r>
        <w:fldChar w:fldCharType="begin"/>
      </w:r>
      <w:r>
        <w:instrText xml:space="preserve"> HYPERLINK \l "_Toc508698474" </w:instrText>
      </w:r>
      <w:r>
        <w:fldChar w:fldCharType="separate"/>
      </w:r>
      <w:r>
        <w:rPr>
          <w:rStyle w:val="18"/>
          <w:rFonts w:hint="eastAsia"/>
        </w:rPr>
        <w:t>第一节</w:t>
      </w:r>
      <w:r>
        <w:rPr>
          <w:rStyle w:val="18"/>
        </w:rPr>
        <w:t xml:space="preserve">  </w:t>
      </w:r>
      <w:r>
        <w:rPr>
          <w:rStyle w:val="18"/>
          <w:rFonts w:hint="eastAsia"/>
        </w:rPr>
        <w:t>矿业权设置区划</w:t>
      </w:r>
      <w:r>
        <w:tab/>
      </w:r>
      <w:r>
        <w:fldChar w:fldCharType="begin"/>
      </w:r>
      <w:r>
        <w:instrText xml:space="preserve"> PAGEREF _Toc508698474 \h </w:instrText>
      </w:r>
      <w:r>
        <w:fldChar w:fldCharType="separate"/>
      </w:r>
      <w:r>
        <w:t>25</w:t>
      </w:r>
      <w:r>
        <w:fldChar w:fldCharType="end"/>
      </w:r>
      <w:r>
        <w:fldChar w:fldCharType="end"/>
      </w:r>
    </w:p>
    <w:p w14:paraId="123B069C">
      <w:pPr>
        <w:pStyle w:val="12"/>
        <w:tabs>
          <w:tab w:val="right" w:leader="dot" w:pos="8296"/>
        </w:tabs>
        <w:ind w:left="480" w:firstLine="480"/>
        <w:rPr>
          <w:rFonts w:ascii="Calibri" w:hAnsi="Calibri"/>
          <w:sz w:val="21"/>
        </w:rPr>
      </w:pPr>
      <w:r>
        <w:fldChar w:fldCharType="begin"/>
      </w:r>
      <w:r>
        <w:instrText xml:space="preserve"> HYPERLINK \l "_Toc508698475" </w:instrText>
      </w:r>
      <w:r>
        <w:fldChar w:fldCharType="separate"/>
      </w:r>
      <w:r>
        <w:rPr>
          <w:rStyle w:val="18"/>
          <w:rFonts w:hint="eastAsia"/>
        </w:rPr>
        <w:t>第二节</w:t>
      </w:r>
      <w:r>
        <w:rPr>
          <w:rStyle w:val="18"/>
        </w:rPr>
        <w:t xml:space="preserve">  </w:t>
      </w:r>
      <w:r>
        <w:rPr>
          <w:rStyle w:val="18"/>
          <w:rFonts w:hint="eastAsia"/>
        </w:rPr>
        <w:t>严格勘查开发监管管理</w:t>
      </w:r>
      <w:r>
        <w:tab/>
      </w:r>
      <w:r>
        <w:fldChar w:fldCharType="begin"/>
      </w:r>
      <w:r>
        <w:instrText xml:space="preserve"> PAGEREF _Toc508698475 \h </w:instrText>
      </w:r>
      <w:r>
        <w:fldChar w:fldCharType="separate"/>
      </w:r>
      <w:r>
        <w:t>26</w:t>
      </w:r>
      <w:r>
        <w:fldChar w:fldCharType="end"/>
      </w:r>
      <w:r>
        <w:fldChar w:fldCharType="end"/>
      </w:r>
    </w:p>
    <w:p w14:paraId="158B1CD7">
      <w:pPr>
        <w:pStyle w:val="11"/>
        <w:rPr>
          <w:rFonts w:ascii="Calibri" w:hAnsi="Calibri"/>
          <w:b w:val="0"/>
          <w:sz w:val="21"/>
          <w:szCs w:val="22"/>
        </w:rPr>
      </w:pPr>
      <w:r>
        <w:fldChar w:fldCharType="begin"/>
      </w:r>
      <w:r>
        <w:instrText xml:space="preserve"> HYPERLINK \l "_Toc508698476" </w:instrText>
      </w:r>
      <w:r>
        <w:fldChar w:fldCharType="separate"/>
      </w:r>
      <w:r>
        <w:rPr>
          <w:rStyle w:val="18"/>
          <w:rFonts w:hint="eastAsia"/>
        </w:rPr>
        <w:t>第九章</w:t>
      </w:r>
      <w:r>
        <w:rPr>
          <w:rStyle w:val="18"/>
        </w:rPr>
        <w:t xml:space="preserve">  </w:t>
      </w:r>
      <w:r>
        <w:rPr>
          <w:rStyle w:val="18"/>
          <w:rFonts w:hint="eastAsia"/>
        </w:rPr>
        <w:t>环境影响评价</w:t>
      </w:r>
      <w:r>
        <w:tab/>
      </w:r>
      <w:r>
        <w:fldChar w:fldCharType="begin"/>
      </w:r>
      <w:r>
        <w:instrText xml:space="preserve"> PAGEREF _Toc508698476 \h </w:instrText>
      </w:r>
      <w:r>
        <w:fldChar w:fldCharType="separate"/>
      </w:r>
      <w:r>
        <w:t>28</w:t>
      </w:r>
      <w:r>
        <w:fldChar w:fldCharType="end"/>
      </w:r>
      <w:r>
        <w:fldChar w:fldCharType="end"/>
      </w:r>
    </w:p>
    <w:p w14:paraId="3A13D0E6">
      <w:pPr>
        <w:pStyle w:val="12"/>
        <w:tabs>
          <w:tab w:val="right" w:leader="dot" w:pos="8296"/>
        </w:tabs>
        <w:ind w:left="480" w:firstLine="480"/>
        <w:rPr>
          <w:rFonts w:ascii="Calibri" w:hAnsi="Calibri"/>
          <w:sz w:val="21"/>
        </w:rPr>
      </w:pPr>
      <w:r>
        <w:fldChar w:fldCharType="begin"/>
      </w:r>
      <w:r>
        <w:instrText xml:space="preserve"> HYPERLINK \l "_Toc508698477" </w:instrText>
      </w:r>
      <w:r>
        <w:fldChar w:fldCharType="separate"/>
      </w:r>
      <w:r>
        <w:rPr>
          <w:rStyle w:val="18"/>
          <w:rFonts w:hint="eastAsia"/>
        </w:rPr>
        <w:t>第一节</w:t>
      </w:r>
      <w:r>
        <w:rPr>
          <w:rStyle w:val="18"/>
        </w:rPr>
        <w:t xml:space="preserve">  </w:t>
      </w:r>
      <w:r>
        <w:rPr>
          <w:rStyle w:val="18"/>
          <w:rFonts w:hint="eastAsia"/>
        </w:rPr>
        <w:t>环境影响预测与评价</w:t>
      </w:r>
      <w:r>
        <w:tab/>
      </w:r>
      <w:r>
        <w:fldChar w:fldCharType="begin"/>
      </w:r>
      <w:r>
        <w:instrText xml:space="preserve"> PAGEREF _Toc508698477 \h </w:instrText>
      </w:r>
      <w:r>
        <w:fldChar w:fldCharType="separate"/>
      </w:r>
      <w:r>
        <w:t>28</w:t>
      </w:r>
      <w:r>
        <w:fldChar w:fldCharType="end"/>
      </w:r>
      <w:r>
        <w:fldChar w:fldCharType="end"/>
      </w:r>
    </w:p>
    <w:p w14:paraId="0C4BD187">
      <w:pPr>
        <w:pStyle w:val="12"/>
        <w:tabs>
          <w:tab w:val="right" w:leader="dot" w:pos="8296"/>
        </w:tabs>
        <w:ind w:left="480" w:firstLine="480"/>
        <w:rPr>
          <w:rFonts w:ascii="Calibri" w:hAnsi="Calibri"/>
          <w:sz w:val="21"/>
        </w:rPr>
      </w:pPr>
      <w:r>
        <w:fldChar w:fldCharType="begin"/>
      </w:r>
      <w:r>
        <w:instrText xml:space="preserve"> HYPERLINK \l "_Toc508698478" </w:instrText>
      </w:r>
      <w:r>
        <w:fldChar w:fldCharType="separate"/>
      </w:r>
      <w:r>
        <w:rPr>
          <w:rStyle w:val="18"/>
          <w:rFonts w:hint="eastAsia"/>
        </w:rPr>
        <w:t>第二节</w:t>
      </w:r>
      <w:r>
        <w:rPr>
          <w:rStyle w:val="18"/>
        </w:rPr>
        <w:t xml:space="preserve">  </w:t>
      </w:r>
      <w:r>
        <w:rPr>
          <w:rStyle w:val="18"/>
          <w:rFonts w:hint="eastAsia"/>
        </w:rPr>
        <w:t>资源与环境承载力评价</w:t>
      </w:r>
      <w:r>
        <w:tab/>
      </w:r>
      <w:r>
        <w:fldChar w:fldCharType="begin"/>
      </w:r>
      <w:r>
        <w:instrText xml:space="preserve"> PAGEREF _Toc508698478 \h </w:instrText>
      </w:r>
      <w:r>
        <w:fldChar w:fldCharType="separate"/>
      </w:r>
      <w:r>
        <w:t>30</w:t>
      </w:r>
      <w:r>
        <w:fldChar w:fldCharType="end"/>
      </w:r>
      <w:r>
        <w:fldChar w:fldCharType="end"/>
      </w:r>
    </w:p>
    <w:p w14:paraId="4D04D89B">
      <w:pPr>
        <w:pStyle w:val="11"/>
        <w:rPr>
          <w:rFonts w:ascii="Calibri" w:hAnsi="Calibri"/>
          <w:b w:val="0"/>
          <w:sz w:val="21"/>
          <w:szCs w:val="22"/>
        </w:rPr>
      </w:pPr>
      <w:r>
        <w:fldChar w:fldCharType="begin"/>
      </w:r>
      <w:r>
        <w:instrText xml:space="preserve"> HYPERLINK \l "_Toc508698479" </w:instrText>
      </w:r>
      <w:r>
        <w:fldChar w:fldCharType="separate"/>
      </w:r>
      <w:r>
        <w:rPr>
          <w:rStyle w:val="18"/>
          <w:rFonts w:hint="eastAsia"/>
        </w:rPr>
        <w:t>第十章</w:t>
      </w:r>
      <w:r>
        <w:rPr>
          <w:rStyle w:val="18"/>
        </w:rPr>
        <w:t xml:space="preserve">  </w:t>
      </w:r>
      <w:r>
        <w:rPr>
          <w:rStyle w:val="18"/>
          <w:rFonts w:hint="eastAsia"/>
        </w:rPr>
        <w:t>规划实施管理</w:t>
      </w:r>
      <w:r>
        <w:tab/>
      </w:r>
      <w:r>
        <w:fldChar w:fldCharType="begin"/>
      </w:r>
      <w:r>
        <w:instrText xml:space="preserve"> PAGEREF _Toc508698479 \h </w:instrText>
      </w:r>
      <w:r>
        <w:fldChar w:fldCharType="separate"/>
      </w:r>
      <w:r>
        <w:t>30</w:t>
      </w:r>
      <w:r>
        <w:fldChar w:fldCharType="end"/>
      </w:r>
      <w:r>
        <w:fldChar w:fldCharType="end"/>
      </w:r>
    </w:p>
    <w:p w14:paraId="13E82DB9">
      <w:pPr>
        <w:ind w:firstLine="640"/>
      </w:pPr>
      <w:r>
        <w:rPr>
          <w:sz w:val="32"/>
          <w:szCs w:val="32"/>
        </w:rPr>
        <w:fldChar w:fldCharType="end"/>
      </w:r>
    </w:p>
    <w:p w14:paraId="0ABA2A41">
      <w:pPr>
        <w:ind w:firstLine="562"/>
        <w:jc w:val="center"/>
        <w:rPr>
          <w:b/>
          <w:sz w:val="28"/>
          <w:szCs w:val="28"/>
        </w:rPr>
      </w:pPr>
      <w:r>
        <w:rPr>
          <w:rFonts w:hint="eastAsia"/>
          <w:b/>
          <w:sz w:val="28"/>
          <w:szCs w:val="28"/>
        </w:rPr>
        <w:t>附</w:t>
      </w:r>
      <w:r>
        <w:rPr>
          <w:b/>
          <w:sz w:val="28"/>
          <w:szCs w:val="28"/>
        </w:rPr>
        <w:t xml:space="preserve">  </w:t>
      </w:r>
      <w:r>
        <w:rPr>
          <w:rFonts w:hint="eastAsia"/>
          <w:b/>
          <w:sz w:val="28"/>
          <w:szCs w:val="28"/>
        </w:rPr>
        <w:t>表</w:t>
      </w:r>
    </w:p>
    <w:p w14:paraId="07D1F0C7">
      <w:pPr>
        <w:ind w:firstLine="480"/>
      </w:pPr>
      <w:r>
        <w:rPr>
          <w:rFonts w:hint="eastAsia"/>
        </w:rPr>
        <w:t>附表</w:t>
      </w:r>
      <w:r>
        <w:t xml:space="preserve">1 </w:t>
      </w:r>
      <w:r>
        <w:rPr>
          <w:rFonts w:hint="eastAsia"/>
        </w:rPr>
        <w:t>贵安新区主要矿产资源储量表</w:t>
      </w:r>
    </w:p>
    <w:p w14:paraId="0A6A2A95">
      <w:pPr>
        <w:ind w:firstLine="480"/>
      </w:pPr>
      <w:r>
        <w:rPr>
          <w:rFonts w:hint="eastAsia"/>
        </w:rPr>
        <w:t>附表</w:t>
      </w:r>
      <w:r>
        <w:t xml:space="preserve">2 </w:t>
      </w:r>
      <w:r>
        <w:rPr>
          <w:rFonts w:hint="eastAsia"/>
        </w:rPr>
        <w:t>贵安新区主要矿区</w:t>
      </w:r>
      <w:r>
        <w:t>(</w:t>
      </w:r>
      <w:r>
        <w:rPr>
          <w:rFonts w:hint="eastAsia"/>
        </w:rPr>
        <w:t>床</w:t>
      </w:r>
      <w:r>
        <w:t>)</w:t>
      </w:r>
      <w:r>
        <w:rPr>
          <w:rFonts w:hint="eastAsia"/>
        </w:rPr>
        <w:t>资源储量基本情况表</w:t>
      </w:r>
    </w:p>
    <w:p w14:paraId="1A1225DB">
      <w:pPr>
        <w:ind w:firstLine="480"/>
      </w:pPr>
      <w:r>
        <w:rPr>
          <w:rFonts w:hint="eastAsia"/>
        </w:rPr>
        <w:t>附表</w:t>
      </w:r>
      <w:r>
        <w:t xml:space="preserve">3 </w:t>
      </w:r>
      <w:r>
        <w:rPr>
          <w:rFonts w:hint="eastAsia"/>
        </w:rPr>
        <w:t>贵安新区主要矿产资源开发利用现状表</w:t>
      </w:r>
    </w:p>
    <w:p w14:paraId="5CB967FA">
      <w:pPr>
        <w:ind w:firstLine="480"/>
      </w:pPr>
      <w:r>
        <w:rPr>
          <w:rFonts w:hint="eastAsia"/>
        </w:rPr>
        <w:t>附表</w:t>
      </w:r>
      <w:r>
        <w:t xml:space="preserve">4 </w:t>
      </w:r>
      <w:r>
        <w:rPr>
          <w:rFonts w:hint="eastAsia"/>
        </w:rPr>
        <w:t>贵安新区主要矿山开发利用现状表</w:t>
      </w:r>
    </w:p>
    <w:p w14:paraId="40858EDD">
      <w:pPr>
        <w:ind w:firstLine="480"/>
      </w:pPr>
      <w:r>
        <w:rPr>
          <w:rFonts w:hint="eastAsia"/>
        </w:rPr>
        <w:t>附表</w:t>
      </w:r>
      <w:r>
        <w:t xml:space="preserve">5 </w:t>
      </w:r>
      <w:r>
        <w:rPr>
          <w:rFonts w:hint="eastAsia"/>
        </w:rPr>
        <w:t>贵安新区主要矿产采矿权现状表</w:t>
      </w:r>
    </w:p>
    <w:p w14:paraId="656AD314">
      <w:pPr>
        <w:ind w:firstLine="480"/>
      </w:pPr>
      <w:r>
        <w:rPr>
          <w:rFonts w:hint="eastAsia"/>
        </w:rPr>
        <w:t>附表</w:t>
      </w:r>
      <w:r>
        <w:t xml:space="preserve">6 </w:t>
      </w:r>
      <w:r>
        <w:rPr>
          <w:rFonts w:hint="eastAsia"/>
        </w:rPr>
        <w:t>贵安新区主要矿产品产量、需求量及预测表</w:t>
      </w:r>
    </w:p>
    <w:p w14:paraId="21CCA573">
      <w:pPr>
        <w:ind w:firstLine="480"/>
      </w:pPr>
      <w:r>
        <w:rPr>
          <w:rFonts w:hint="eastAsia"/>
        </w:rPr>
        <w:t>附表</w:t>
      </w:r>
      <w:r>
        <w:t xml:space="preserve">7 </w:t>
      </w:r>
      <w:r>
        <w:rPr>
          <w:rFonts w:hint="eastAsia"/>
        </w:rPr>
        <w:t>贵安新区矿产资源调查评价分区表</w:t>
      </w:r>
    </w:p>
    <w:p w14:paraId="2D06380A">
      <w:pPr>
        <w:ind w:firstLine="480"/>
      </w:pPr>
      <w:r>
        <w:rPr>
          <w:rFonts w:hint="eastAsia"/>
        </w:rPr>
        <w:t>附表</w:t>
      </w:r>
      <w:r>
        <w:t xml:space="preserve">8 </w:t>
      </w:r>
      <w:r>
        <w:rPr>
          <w:rFonts w:hint="eastAsia"/>
        </w:rPr>
        <w:t>贵安新区矿产资源勘查分区表</w:t>
      </w:r>
    </w:p>
    <w:p w14:paraId="07C55703">
      <w:pPr>
        <w:ind w:firstLine="480"/>
      </w:pPr>
      <w:r>
        <w:rPr>
          <w:rFonts w:hint="eastAsia"/>
        </w:rPr>
        <w:t>附表</w:t>
      </w:r>
      <w:r>
        <w:t xml:space="preserve">9 </w:t>
      </w:r>
      <w:r>
        <w:rPr>
          <w:rFonts w:hint="eastAsia"/>
        </w:rPr>
        <w:t>州省矿产资源开采分区表</w:t>
      </w:r>
    </w:p>
    <w:p w14:paraId="132901C6">
      <w:pPr>
        <w:ind w:firstLine="480"/>
      </w:pPr>
      <w:r>
        <w:rPr>
          <w:rFonts w:hint="eastAsia"/>
        </w:rPr>
        <w:t>附表</w:t>
      </w:r>
      <w:r>
        <w:t xml:space="preserve">10 </w:t>
      </w:r>
      <w:r>
        <w:rPr>
          <w:rFonts w:hint="eastAsia"/>
        </w:rPr>
        <w:t>主要矿区最低开采规模规划表</w:t>
      </w:r>
    </w:p>
    <w:p w14:paraId="21E4DE46">
      <w:pPr>
        <w:ind w:firstLine="480"/>
      </w:pPr>
      <w:r>
        <w:rPr>
          <w:rFonts w:hint="eastAsia"/>
        </w:rPr>
        <w:t>附表</w:t>
      </w:r>
      <w:r>
        <w:t xml:space="preserve">11 </w:t>
      </w:r>
      <w:r>
        <w:rPr>
          <w:rFonts w:hint="eastAsia"/>
        </w:rPr>
        <w:t>贵安新区矿山生态环境恢复治理规划表</w:t>
      </w:r>
    </w:p>
    <w:p w14:paraId="17ECC173">
      <w:pPr>
        <w:ind w:firstLine="562"/>
        <w:jc w:val="center"/>
        <w:rPr>
          <w:b/>
          <w:sz w:val="28"/>
          <w:szCs w:val="28"/>
        </w:rPr>
      </w:pPr>
      <w:r>
        <w:rPr>
          <w:rFonts w:hint="eastAsia"/>
          <w:b/>
          <w:sz w:val="28"/>
          <w:szCs w:val="28"/>
        </w:rPr>
        <w:t>附</w:t>
      </w:r>
      <w:r>
        <w:rPr>
          <w:b/>
          <w:sz w:val="28"/>
          <w:szCs w:val="28"/>
        </w:rPr>
        <w:t xml:space="preserve">  </w:t>
      </w:r>
      <w:r>
        <w:rPr>
          <w:rFonts w:hint="eastAsia"/>
          <w:b/>
          <w:sz w:val="28"/>
          <w:szCs w:val="28"/>
        </w:rPr>
        <w:t>图</w:t>
      </w:r>
    </w:p>
    <w:p w14:paraId="7081D4E4">
      <w:pPr>
        <w:ind w:firstLine="480"/>
      </w:pPr>
      <w:r>
        <w:t>1</w:t>
      </w:r>
      <w:r>
        <w:rPr>
          <w:rFonts w:hint="eastAsia"/>
        </w:rPr>
        <w:t>、贵州省贵安新区直管区矿产资源分布图</w:t>
      </w:r>
    </w:p>
    <w:p w14:paraId="013A2BE4">
      <w:pPr>
        <w:ind w:firstLine="480"/>
      </w:pPr>
      <w:r>
        <w:t>2</w:t>
      </w:r>
      <w:r>
        <w:rPr>
          <w:rFonts w:hint="eastAsia"/>
        </w:rPr>
        <w:t>、贵州省贵安新区直管区矿产资源开发利用现状图</w:t>
      </w:r>
    </w:p>
    <w:p w14:paraId="64624768">
      <w:pPr>
        <w:ind w:firstLine="480"/>
      </w:pPr>
      <w:r>
        <w:t>3</w:t>
      </w:r>
      <w:r>
        <w:rPr>
          <w:rFonts w:hint="eastAsia"/>
        </w:rPr>
        <w:t>、贵州省贵安新区直管区矿产资源开发与保护规划图</w:t>
      </w:r>
    </w:p>
    <w:p w14:paraId="10AC5A62">
      <w:pPr>
        <w:ind w:firstLine="480"/>
      </w:pPr>
      <w:r>
        <w:t>4</w:t>
      </w:r>
      <w:r>
        <w:rPr>
          <w:rFonts w:hint="eastAsia"/>
        </w:rPr>
        <w:t>、贵州省贵安新区直管区矿产资源环境保护与恢复治理规划图</w:t>
      </w:r>
    </w:p>
    <w:p w14:paraId="0578ED07">
      <w:pPr>
        <w:ind w:firstLine="480"/>
      </w:pPr>
    </w:p>
    <w:p w14:paraId="36611791">
      <w:pPr>
        <w:ind w:firstLine="480"/>
      </w:pPr>
    </w:p>
    <w:p w14:paraId="3762D57F">
      <w:pPr>
        <w:ind w:firstLine="0" w:firstLineChars="0"/>
        <w:jc w:val="center"/>
        <w:rPr>
          <w:b/>
          <w:sz w:val="32"/>
          <w:szCs w:val="32"/>
        </w:rPr>
        <w:sectPr>
          <w:pgSz w:w="11906" w:h="16838"/>
          <w:pgMar w:top="1440" w:right="1800" w:bottom="1440" w:left="1800" w:header="851" w:footer="992" w:gutter="0"/>
          <w:pgNumType w:start="1"/>
          <w:cols w:space="425" w:num="1"/>
          <w:docGrid w:type="lines" w:linePitch="312" w:charSpace="0"/>
        </w:sectPr>
      </w:pPr>
    </w:p>
    <w:p w14:paraId="3E3283C9">
      <w:pPr>
        <w:pStyle w:val="2"/>
      </w:pPr>
      <w:bookmarkStart w:id="0" w:name="_Toc508698450"/>
      <w:r>
        <w:rPr>
          <w:rFonts w:hint="eastAsia"/>
        </w:rPr>
        <w:t>第一章</w:t>
      </w:r>
      <w:r>
        <w:t xml:space="preserve">  </w:t>
      </w:r>
      <w:r>
        <w:rPr>
          <w:rFonts w:hint="eastAsia"/>
        </w:rPr>
        <w:t>总则</w:t>
      </w:r>
      <w:bookmarkEnd w:id="0"/>
    </w:p>
    <w:p w14:paraId="06CDE410">
      <w:pPr>
        <w:pStyle w:val="3"/>
        <w:spacing w:before="156" w:after="156"/>
      </w:pPr>
      <w:bookmarkStart w:id="1" w:name="_Toc508698451"/>
      <w:r>
        <w:rPr>
          <w:rFonts w:hint="eastAsia"/>
        </w:rPr>
        <w:t>第一节</w:t>
      </w:r>
      <w:r>
        <w:t xml:space="preserve">  </w:t>
      </w:r>
      <w:r>
        <w:rPr>
          <w:rFonts w:hint="eastAsia"/>
        </w:rPr>
        <w:t>目的、任务及编制依据</w:t>
      </w:r>
      <w:bookmarkEnd w:id="1"/>
    </w:p>
    <w:p w14:paraId="59C34CDB">
      <w:pPr>
        <w:ind w:firstLine="482"/>
        <w:rPr>
          <w:b/>
          <w:szCs w:val="24"/>
        </w:rPr>
      </w:pPr>
      <w:r>
        <w:rPr>
          <w:rFonts w:hint="eastAsia"/>
          <w:b/>
          <w:szCs w:val="24"/>
        </w:rPr>
        <w:t>一、目的任务</w:t>
      </w:r>
    </w:p>
    <w:p w14:paraId="45267789">
      <w:pPr>
        <w:spacing w:line="560" w:lineRule="exact"/>
        <w:ind w:firstLine="480"/>
        <w:rPr>
          <w:rFonts w:ascii="宋体"/>
          <w:b/>
          <w:szCs w:val="24"/>
        </w:rPr>
      </w:pPr>
      <w:r>
        <w:rPr>
          <w:rFonts w:hint="eastAsia" w:ascii="宋体" w:hAnsi="宋体"/>
          <w:szCs w:val="24"/>
        </w:rPr>
        <w:t>为深入贯彻落实党的十八</w:t>
      </w:r>
      <w:r>
        <w:rPr>
          <w:rFonts w:hint="eastAsia" w:ascii="宋体" w:hAnsi="宋体"/>
          <w:szCs w:val="24"/>
          <w:lang w:val="en-US" w:eastAsia="zh-CN"/>
        </w:rPr>
        <w:t>届</w:t>
      </w:r>
      <w:bookmarkStart w:id="39" w:name="_GoBack"/>
      <w:bookmarkEnd w:id="39"/>
      <w:r>
        <w:rPr>
          <w:rFonts w:hint="eastAsia" w:ascii="宋体" w:hAnsi="宋体"/>
          <w:szCs w:val="24"/>
        </w:rPr>
        <w:t>六中全会精神，</w:t>
      </w:r>
      <w:r>
        <w:rPr>
          <w:rFonts w:hint="eastAsia" w:ascii="宋体" w:hAnsi="宋体" w:cs="宋体"/>
          <w:kern w:val="0"/>
          <w:szCs w:val="24"/>
        </w:rPr>
        <w:t>以服务和促进“全面建成小康社会”为目标，</w:t>
      </w:r>
      <w:r>
        <w:rPr>
          <w:rFonts w:hint="eastAsia" w:ascii="宋体" w:hAnsi="宋体"/>
          <w:szCs w:val="24"/>
        </w:rPr>
        <w:t>加强对矿产资源勘查、开发利用的调控，促进矿业持续、健康发展，提高国民经济发展对矿产资源需求的保障能力。依据《中华人民共和国矿产资源法》及其实施细则等法律法规和国家有关方针政策，按照《国土资源部关于开展第三轮矿产资源规划编制工作的通知》（国土资发</w:t>
      </w:r>
      <w:r>
        <w:rPr>
          <w:rFonts w:ascii="宋体" w:hAnsi="宋体"/>
          <w:szCs w:val="24"/>
        </w:rPr>
        <w:t>[2014]35</w:t>
      </w:r>
      <w:r>
        <w:rPr>
          <w:rFonts w:hint="eastAsia" w:ascii="宋体" w:hAnsi="宋体"/>
          <w:szCs w:val="24"/>
        </w:rPr>
        <w:t>号）、《省国土资源厅转发省级矿产资源总体规划编制技术规程和市级矿产资源总体规划编制指导意见的通知》（黔国土资发</w:t>
      </w:r>
      <w:r>
        <w:rPr>
          <w:rFonts w:ascii="宋体" w:hAnsi="宋体"/>
          <w:szCs w:val="24"/>
        </w:rPr>
        <w:t>[2015]31</w:t>
      </w:r>
      <w:r>
        <w:rPr>
          <w:rFonts w:hint="eastAsia" w:ascii="宋体" w:hAnsi="宋体"/>
          <w:szCs w:val="24"/>
        </w:rPr>
        <w:t>号）、《贵州省矿产资源规划》（</w:t>
      </w:r>
      <w:r>
        <w:rPr>
          <w:rFonts w:ascii="宋体" w:hAnsi="宋体"/>
          <w:szCs w:val="24"/>
        </w:rPr>
        <w:t>2016-2020</w:t>
      </w:r>
      <w:r>
        <w:rPr>
          <w:rFonts w:hint="eastAsia" w:ascii="宋体" w:hAnsi="宋体"/>
          <w:szCs w:val="24"/>
        </w:rPr>
        <w:t>年）</w:t>
      </w:r>
      <w:r>
        <w:rPr>
          <w:rFonts w:ascii="宋体"/>
          <w:szCs w:val="24"/>
        </w:rPr>
        <w:t>,</w:t>
      </w:r>
      <w:r>
        <w:rPr>
          <w:rFonts w:hint="eastAsia" w:ascii="宋体" w:hAnsi="宋体"/>
          <w:szCs w:val="24"/>
        </w:rPr>
        <w:t>贵州省贵安新区国土资源局组织编制了《贵州省贵安新区直管区矿产资源总体规划</w:t>
      </w:r>
      <w:r>
        <w:rPr>
          <w:rFonts w:ascii="宋体" w:hAnsi="宋体"/>
          <w:szCs w:val="24"/>
        </w:rPr>
        <w:t>(2016-2020)</w:t>
      </w:r>
      <w:r>
        <w:rPr>
          <w:rFonts w:hint="eastAsia" w:ascii="宋体" w:hAnsi="宋体"/>
          <w:szCs w:val="24"/>
        </w:rPr>
        <w:t>》（以下简称《规划》）。</w:t>
      </w:r>
    </w:p>
    <w:p w14:paraId="5C11F91D">
      <w:pPr>
        <w:spacing w:line="560" w:lineRule="exact"/>
        <w:ind w:firstLine="480"/>
        <w:rPr>
          <w:rFonts w:ascii="宋体"/>
          <w:szCs w:val="24"/>
        </w:rPr>
      </w:pPr>
      <w:r>
        <w:rPr>
          <w:rFonts w:hint="eastAsia" w:ascii="宋体" w:hAnsi="宋体"/>
          <w:szCs w:val="24"/>
        </w:rPr>
        <w:t>《规划》是指导贵州省贵安新区直管区矿产资源勘查、开发利用与保护的纲领性文件，是依法审批和监督管理矿产资源勘查开发利用活动的重要依据，是调控矿产资源勘查、开发利用，促进矿业发展的重要手段。</w:t>
      </w:r>
    </w:p>
    <w:p w14:paraId="10A57E66">
      <w:pPr>
        <w:spacing w:line="560" w:lineRule="exact"/>
        <w:ind w:firstLine="480"/>
        <w:rPr>
          <w:rFonts w:ascii="宋体"/>
          <w:b/>
          <w:szCs w:val="24"/>
        </w:rPr>
      </w:pPr>
      <w:r>
        <w:rPr>
          <w:rFonts w:hint="eastAsia" w:ascii="宋体" w:hAnsi="宋体"/>
          <w:szCs w:val="24"/>
        </w:rPr>
        <w:t>《规划》的主要任务是：在全面分析贵州省贵安新区直管区矿产资源禀赋条件、勘查开发现状及其存在问题的基础上，贯彻落实科学发展观，促进矿产资源合理利用。坚持“坚守发展和生态两条底线”的方针，落实“尽职尽责保护国土资源、节约集约利用国土资源、尽心尽力维护群众权益”的矿政管理理念，超前谋划，总体布局，统筹规划，全面加强矿产资源的勘查、开发、保护与合理利用，积极推进矿业合作，提高资源保障能力，为贵州省贵安新区直管区全面建成小康社会夯实资源基础。</w:t>
      </w:r>
    </w:p>
    <w:p w14:paraId="7816F0EB">
      <w:pPr>
        <w:ind w:firstLine="482"/>
        <w:rPr>
          <w:b/>
        </w:rPr>
      </w:pPr>
      <w:r>
        <w:rPr>
          <w:rFonts w:hint="eastAsia"/>
          <w:b/>
        </w:rPr>
        <w:t>二、编制主要依据</w:t>
      </w:r>
    </w:p>
    <w:p w14:paraId="68B04445">
      <w:pPr>
        <w:spacing w:line="560" w:lineRule="exact"/>
        <w:ind w:firstLine="480"/>
        <w:rPr>
          <w:rFonts w:ascii="宋体"/>
          <w:szCs w:val="24"/>
        </w:rPr>
      </w:pPr>
      <w:r>
        <w:rPr>
          <w:rFonts w:ascii="宋体" w:hAnsi="宋体"/>
          <w:szCs w:val="24"/>
        </w:rPr>
        <w:t>1</w:t>
      </w:r>
      <w:r>
        <w:rPr>
          <w:rFonts w:hint="eastAsia" w:ascii="宋体" w:hAnsi="宋体"/>
          <w:szCs w:val="24"/>
        </w:rPr>
        <w:t>、《中华人民共和国矿产资源法》</w:t>
      </w:r>
    </w:p>
    <w:p w14:paraId="307B21A5">
      <w:pPr>
        <w:spacing w:line="560" w:lineRule="exact"/>
        <w:ind w:firstLine="480"/>
        <w:rPr>
          <w:rFonts w:ascii="宋体"/>
          <w:szCs w:val="24"/>
        </w:rPr>
      </w:pPr>
      <w:r>
        <w:rPr>
          <w:rFonts w:ascii="宋体" w:hAnsi="宋体"/>
          <w:szCs w:val="24"/>
        </w:rPr>
        <w:t>2</w:t>
      </w:r>
      <w:r>
        <w:rPr>
          <w:rFonts w:hint="eastAsia" w:ascii="宋体" w:hAnsi="宋体"/>
          <w:szCs w:val="24"/>
        </w:rPr>
        <w:t>、《中华人民共和国矿产资源法实施细则》</w:t>
      </w:r>
    </w:p>
    <w:p w14:paraId="4EC6D788">
      <w:pPr>
        <w:spacing w:line="560" w:lineRule="exact"/>
        <w:ind w:firstLine="480"/>
        <w:rPr>
          <w:rFonts w:ascii="宋体"/>
          <w:szCs w:val="24"/>
        </w:rPr>
      </w:pPr>
      <w:r>
        <w:rPr>
          <w:rFonts w:ascii="宋体" w:hAnsi="宋体"/>
          <w:szCs w:val="24"/>
        </w:rPr>
        <w:t>3</w:t>
      </w:r>
      <w:r>
        <w:rPr>
          <w:rFonts w:hint="eastAsia" w:ascii="宋体" w:hAnsi="宋体"/>
          <w:szCs w:val="24"/>
        </w:rPr>
        <w:t>、《中华人民共和国自然保护</w:t>
      </w:r>
      <w:r>
        <w:rPr>
          <w:rFonts w:hint="eastAsia" w:ascii="宋体" w:hAnsi="宋体"/>
          <w:szCs w:val="24"/>
          <w:lang w:val="en-US" w:eastAsia="zh-CN"/>
        </w:rPr>
        <w:t>区</w:t>
      </w:r>
      <w:r>
        <w:rPr>
          <w:rFonts w:hint="eastAsia" w:ascii="宋体" w:hAnsi="宋体"/>
          <w:szCs w:val="24"/>
        </w:rPr>
        <w:t>条例》</w:t>
      </w:r>
    </w:p>
    <w:p w14:paraId="418C6908">
      <w:pPr>
        <w:spacing w:line="560" w:lineRule="exact"/>
        <w:ind w:firstLine="480"/>
        <w:rPr>
          <w:rFonts w:ascii="宋体"/>
          <w:szCs w:val="24"/>
        </w:rPr>
      </w:pPr>
      <w:r>
        <w:rPr>
          <w:rFonts w:ascii="宋体" w:hAnsi="宋体"/>
          <w:szCs w:val="24"/>
        </w:rPr>
        <w:t>4</w:t>
      </w:r>
      <w:r>
        <w:rPr>
          <w:rFonts w:hint="eastAsia" w:ascii="宋体" w:hAnsi="宋体"/>
          <w:szCs w:val="24"/>
        </w:rPr>
        <w:t>、《中华人民共和国环境影响评价法》</w:t>
      </w:r>
    </w:p>
    <w:p w14:paraId="2826F65B">
      <w:pPr>
        <w:spacing w:line="560" w:lineRule="exact"/>
        <w:ind w:firstLine="480"/>
        <w:rPr>
          <w:rFonts w:ascii="宋体"/>
          <w:szCs w:val="24"/>
        </w:rPr>
      </w:pPr>
      <w:r>
        <w:rPr>
          <w:rFonts w:ascii="宋体" w:hAnsi="宋体"/>
          <w:szCs w:val="24"/>
        </w:rPr>
        <w:t>5</w:t>
      </w:r>
      <w:r>
        <w:rPr>
          <w:rFonts w:hint="eastAsia" w:ascii="宋体" w:hAnsi="宋体"/>
          <w:szCs w:val="24"/>
        </w:rPr>
        <w:t>、《矿产资源勘查区块登记管理办法》（国务院第</w:t>
      </w:r>
      <w:r>
        <w:rPr>
          <w:rFonts w:ascii="宋体" w:hAnsi="宋体"/>
          <w:szCs w:val="24"/>
        </w:rPr>
        <w:t>240</w:t>
      </w:r>
      <w:r>
        <w:rPr>
          <w:rFonts w:hint="eastAsia" w:ascii="宋体" w:hAnsi="宋体"/>
          <w:szCs w:val="24"/>
        </w:rPr>
        <w:t>号令）</w:t>
      </w:r>
    </w:p>
    <w:p w14:paraId="7E2712A0">
      <w:pPr>
        <w:spacing w:line="560" w:lineRule="exact"/>
        <w:ind w:firstLine="480"/>
        <w:rPr>
          <w:rFonts w:ascii="宋体"/>
          <w:szCs w:val="24"/>
        </w:rPr>
      </w:pPr>
      <w:r>
        <w:rPr>
          <w:rFonts w:ascii="宋体" w:hAnsi="宋体"/>
          <w:szCs w:val="24"/>
        </w:rPr>
        <w:t>6</w:t>
      </w:r>
      <w:r>
        <w:rPr>
          <w:rFonts w:hint="eastAsia" w:ascii="宋体" w:hAnsi="宋体"/>
          <w:szCs w:val="24"/>
        </w:rPr>
        <w:t>、《矿产资源开采登记管理办法》（国务院第</w:t>
      </w:r>
      <w:r>
        <w:rPr>
          <w:rFonts w:ascii="宋体" w:hAnsi="宋体"/>
          <w:szCs w:val="24"/>
        </w:rPr>
        <w:t>241</w:t>
      </w:r>
      <w:r>
        <w:rPr>
          <w:rFonts w:hint="eastAsia" w:ascii="宋体" w:hAnsi="宋体"/>
          <w:szCs w:val="24"/>
        </w:rPr>
        <w:t>号令）</w:t>
      </w:r>
    </w:p>
    <w:p w14:paraId="524495B0">
      <w:pPr>
        <w:spacing w:line="560" w:lineRule="exact"/>
        <w:ind w:firstLine="480"/>
        <w:rPr>
          <w:rFonts w:ascii="宋体"/>
          <w:szCs w:val="24"/>
        </w:rPr>
      </w:pPr>
      <w:r>
        <w:rPr>
          <w:rFonts w:ascii="宋体" w:hAnsi="宋体"/>
          <w:szCs w:val="24"/>
        </w:rPr>
        <w:t>7</w:t>
      </w:r>
      <w:r>
        <w:rPr>
          <w:rFonts w:hint="eastAsia" w:ascii="宋体" w:hAnsi="宋体"/>
          <w:szCs w:val="24"/>
        </w:rPr>
        <w:t>、《国土资源部关于开展第三轮矿产资源规划编制工作的通知》（国土资发</w:t>
      </w:r>
      <w:r>
        <w:rPr>
          <w:rFonts w:ascii="宋体" w:hAnsi="宋体"/>
          <w:szCs w:val="24"/>
        </w:rPr>
        <w:t>[2014]35</w:t>
      </w:r>
      <w:r>
        <w:rPr>
          <w:rFonts w:hint="eastAsia" w:ascii="宋体" w:hAnsi="宋体"/>
          <w:szCs w:val="24"/>
        </w:rPr>
        <w:t>号）</w:t>
      </w:r>
    </w:p>
    <w:p w14:paraId="352C1D0E">
      <w:pPr>
        <w:spacing w:line="560" w:lineRule="exact"/>
        <w:ind w:firstLine="480"/>
        <w:rPr>
          <w:rFonts w:ascii="宋体"/>
          <w:szCs w:val="24"/>
        </w:rPr>
      </w:pPr>
      <w:r>
        <w:rPr>
          <w:rFonts w:ascii="宋体" w:hAnsi="宋体"/>
          <w:szCs w:val="24"/>
        </w:rPr>
        <w:t>8</w:t>
      </w:r>
      <w:r>
        <w:rPr>
          <w:rFonts w:hint="eastAsia" w:ascii="宋体" w:hAnsi="宋体"/>
          <w:szCs w:val="24"/>
        </w:rPr>
        <w:t>、《省国土资源厅关于转发省级矿产资源总体规划编制技术规程和市级矿产资源总体规划编制指导意见的通知》（黔国土资发电</w:t>
      </w:r>
      <w:r>
        <w:rPr>
          <w:rFonts w:ascii="宋体" w:hAnsi="宋体"/>
          <w:szCs w:val="24"/>
        </w:rPr>
        <w:t>[2015]31</w:t>
      </w:r>
      <w:r>
        <w:rPr>
          <w:rFonts w:hint="eastAsia" w:ascii="宋体" w:hAnsi="宋体"/>
          <w:szCs w:val="24"/>
        </w:rPr>
        <w:t>号）</w:t>
      </w:r>
    </w:p>
    <w:p w14:paraId="183F463B">
      <w:pPr>
        <w:spacing w:line="560" w:lineRule="exact"/>
        <w:ind w:firstLine="480"/>
        <w:rPr>
          <w:rFonts w:ascii="宋体"/>
          <w:szCs w:val="24"/>
        </w:rPr>
      </w:pPr>
      <w:r>
        <w:rPr>
          <w:rFonts w:ascii="宋体" w:hAnsi="宋体"/>
          <w:szCs w:val="24"/>
        </w:rPr>
        <w:t>9</w:t>
      </w:r>
      <w:r>
        <w:rPr>
          <w:rFonts w:hint="eastAsia" w:ascii="宋体" w:hAnsi="宋体"/>
          <w:szCs w:val="24"/>
        </w:rPr>
        <w:t>、《贵安新区总体规划（</w:t>
      </w:r>
      <w:r>
        <w:rPr>
          <w:rFonts w:ascii="宋体" w:hAnsi="宋体"/>
          <w:szCs w:val="24"/>
        </w:rPr>
        <w:t>2013-2030</w:t>
      </w:r>
      <w:r>
        <w:rPr>
          <w:rFonts w:hint="eastAsia" w:ascii="宋体" w:hAnsi="宋体"/>
          <w:szCs w:val="24"/>
        </w:rPr>
        <w:t>年）》</w:t>
      </w:r>
    </w:p>
    <w:p w14:paraId="1C8BF4FC">
      <w:pPr>
        <w:spacing w:line="560" w:lineRule="exact"/>
        <w:ind w:firstLine="480"/>
        <w:rPr>
          <w:rFonts w:ascii="宋体"/>
          <w:szCs w:val="24"/>
        </w:rPr>
      </w:pPr>
      <w:r>
        <w:rPr>
          <w:rFonts w:ascii="宋体" w:hAnsi="宋体"/>
          <w:szCs w:val="24"/>
        </w:rPr>
        <w:t>10</w:t>
      </w:r>
      <w:r>
        <w:rPr>
          <w:rFonts w:hint="eastAsia" w:ascii="宋体" w:hAnsi="宋体"/>
          <w:szCs w:val="24"/>
        </w:rPr>
        <w:t>、《贵州省贵安新区直管区砂石土资源开发规划（</w:t>
      </w:r>
      <w:r>
        <w:rPr>
          <w:rFonts w:ascii="宋体" w:hAnsi="宋体"/>
          <w:szCs w:val="24"/>
        </w:rPr>
        <w:t>2014-2020</w:t>
      </w:r>
      <w:r>
        <w:rPr>
          <w:rFonts w:hint="eastAsia" w:ascii="宋体" w:hAnsi="宋体"/>
          <w:szCs w:val="24"/>
        </w:rPr>
        <w:t>年）》</w:t>
      </w:r>
    </w:p>
    <w:p w14:paraId="77126699">
      <w:pPr>
        <w:spacing w:line="560" w:lineRule="exact"/>
        <w:ind w:firstLine="480"/>
        <w:rPr>
          <w:rFonts w:ascii="宋体"/>
          <w:szCs w:val="24"/>
        </w:rPr>
      </w:pPr>
      <w:r>
        <w:rPr>
          <w:rFonts w:ascii="宋体" w:hAnsi="宋体"/>
          <w:szCs w:val="24"/>
        </w:rPr>
        <w:t>11</w:t>
      </w:r>
      <w:r>
        <w:rPr>
          <w:rFonts w:hint="eastAsia" w:ascii="宋体" w:hAnsi="宋体"/>
          <w:szCs w:val="24"/>
        </w:rPr>
        <w:t>、《贵州省矿产资源总体规划》（</w:t>
      </w:r>
      <w:r>
        <w:rPr>
          <w:rFonts w:ascii="宋体" w:hAnsi="宋体"/>
          <w:szCs w:val="24"/>
        </w:rPr>
        <w:t>2016—2020</w:t>
      </w:r>
      <w:r>
        <w:rPr>
          <w:rFonts w:hint="eastAsia" w:ascii="宋体" w:hAnsi="宋体"/>
          <w:szCs w:val="24"/>
        </w:rPr>
        <w:t>年）</w:t>
      </w:r>
    </w:p>
    <w:p w14:paraId="2AFF812D">
      <w:pPr>
        <w:spacing w:line="560" w:lineRule="exact"/>
        <w:ind w:firstLine="480"/>
        <w:rPr>
          <w:rFonts w:ascii="宋体"/>
          <w:szCs w:val="24"/>
        </w:rPr>
      </w:pPr>
      <w:r>
        <w:rPr>
          <w:rFonts w:ascii="宋体" w:hAnsi="宋体"/>
          <w:szCs w:val="24"/>
        </w:rPr>
        <w:t>12</w:t>
      </w:r>
      <w:r>
        <w:rPr>
          <w:rFonts w:hint="eastAsia" w:ascii="宋体" w:hAnsi="宋体"/>
          <w:szCs w:val="24"/>
        </w:rPr>
        <w:t>、《贵安新区直管区地热资源勘查、开发利用规划》</w:t>
      </w:r>
    </w:p>
    <w:p w14:paraId="14F498FA">
      <w:pPr>
        <w:spacing w:line="560" w:lineRule="exact"/>
        <w:ind w:firstLine="480"/>
        <w:rPr>
          <w:rFonts w:ascii="宋体"/>
          <w:szCs w:val="24"/>
        </w:rPr>
      </w:pPr>
      <w:r>
        <w:rPr>
          <w:rFonts w:ascii="宋体" w:hAnsi="宋体"/>
          <w:szCs w:val="24"/>
        </w:rPr>
        <w:t>13</w:t>
      </w:r>
      <w:r>
        <w:rPr>
          <w:rFonts w:hint="eastAsia" w:ascii="宋体" w:hAnsi="宋体"/>
          <w:szCs w:val="24"/>
        </w:rPr>
        <w:t>、《贵安新区总体规划（</w:t>
      </w:r>
      <w:r>
        <w:rPr>
          <w:rFonts w:ascii="宋体" w:hAnsi="宋体"/>
          <w:szCs w:val="24"/>
        </w:rPr>
        <w:t>2013-2030</w:t>
      </w:r>
      <w:r>
        <w:rPr>
          <w:rFonts w:hint="eastAsia" w:ascii="宋体" w:hAnsi="宋体"/>
          <w:szCs w:val="24"/>
        </w:rPr>
        <w:t>年）环境影响报告书》</w:t>
      </w:r>
    </w:p>
    <w:p w14:paraId="71D8AE72">
      <w:pPr>
        <w:spacing w:line="560" w:lineRule="exact"/>
        <w:ind w:firstLine="480"/>
        <w:rPr>
          <w:rFonts w:ascii="宋体"/>
          <w:szCs w:val="24"/>
        </w:rPr>
      </w:pPr>
      <w:r>
        <w:rPr>
          <w:rFonts w:ascii="宋体" w:hAnsi="宋体"/>
          <w:szCs w:val="24"/>
        </w:rPr>
        <w:t>14</w:t>
      </w:r>
      <w:r>
        <w:rPr>
          <w:rFonts w:hint="eastAsia" w:ascii="宋体" w:hAnsi="宋体"/>
          <w:szCs w:val="24"/>
        </w:rPr>
        <w:t>、《</w:t>
      </w:r>
      <w:r>
        <w:rPr>
          <w:rFonts w:hint="eastAsia"/>
        </w:rPr>
        <w:t>加快建设绿色矿山的实施意见》（国土资规</w:t>
      </w:r>
      <w:r>
        <w:t>[2017] 4</w:t>
      </w:r>
      <w:r>
        <w:rPr>
          <w:rFonts w:hint="eastAsia"/>
        </w:rPr>
        <w:t>号）</w:t>
      </w:r>
    </w:p>
    <w:p w14:paraId="2EEE9C8F">
      <w:pPr>
        <w:pStyle w:val="3"/>
        <w:spacing w:before="156" w:after="156"/>
      </w:pPr>
      <w:bookmarkStart w:id="2" w:name="_Toc508698452"/>
      <w:r>
        <w:rPr>
          <w:rFonts w:hint="eastAsia"/>
        </w:rPr>
        <w:t>第二节</w:t>
      </w:r>
      <w:r>
        <w:t xml:space="preserve">  </w:t>
      </w:r>
      <w:r>
        <w:rPr>
          <w:rFonts w:hint="eastAsia"/>
        </w:rPr>
        <w:t>规划对象及适用范围</w:t>
      </w:r>
      <w:bookmarkEnd w:id="2"/>
    </w:p>
    <w:p w14:paraId="551CE458">
      <w:pPr>
        <w:ind w:firstLine="480"/>
      </w:pPr>
      <w:r>
        <w:rPr>
          <w:rFonts w:hint="eastAsia"/>
        </w:rPr>
        <w:t>规划对象主要为地热水资源、浅层地热能及建筑用砂矿产资源。</w:t>
      </w:r>
    </w:p>
    <w:p w14:paraId="328EA9C3">
      <w:pPr>
        <w:ind w:firstLine="480"/>
      </w:pPr>
      <w:r>
        <w:rPr>
          <w:rFonts w:hint="eastAsia"/>
        </w:rPr>
        <w:t>规划范围为贵安新区直管区所辖行政区域，包括党武乡、湖潮乡、马场镇、高峰镇及红枫湖镇平寨村、芦茅塘村、中一村、中八村、兰安村、池菇村、中八居委会</w:t>
      </w:r>
      <w:r>
        <w:t>6</w:t>
      </w:r>
      <w:r>
        <w:rPr>
          <w:rFonts w:hint="eastAsia"/>
        </w:rPr>
        <w:t>个村</w:t>
      </w:r>
      <w:r>
        <w:t>1</w:t>
      </w:r>
      <w:r>
        <w:rPr>
          <w:rFonts w:hint="eastAsia"/>
        </w:rPr>
        <w:t>个居委会，面积约</w:t>
      </w:r>
      <w:r>
        <w:t>470</w:t>
      </w:r>
      <w:r>
        <w:rPr>
          <w:rFonts w:hint="eastAsia"/>
        </w:rPr>
        <w:t>平方公里。</w:t>
      </w:r>
    </w:p>
    <w:p w14:paraId="4ED36A43">
      <w:pPr>
        <w:pStyle w:val="3"/>
        <w:spacing w:before="156" w:after="156"/>
      </w:pPr>
      <w:bookmarkStart w:id="3" w:name="_Toc508698453"/>
      <w:r>
        <w:rPr>
          <w:rFonts w:hint="eastAsia"/>
        </w:rPr>
        <w:t>第三节</w:t>
      </w:r>
      <w:r>
        <w:t xml:space="preserve">  </w:t>
      </w:r>
      <w:r>
        <w:rPr>
          <w:rFonts w:hint="eastAsia"/>
        </w:rPr>
        <w:t>规划期及基准期</w:t>
      </w:r>
      <w:bookmarkEnd w:id="3"/>
    </w:p>
    <w:p w14:paraId="00185CB2">
      <w:pPr>
        <w:spacing w:line="560" w:lineRule="exact"/>
        <w:ind w:firstLine="560"/>
        <w:rPr>
          <w:rFonts w:ascii="宋体"/>
          <w:sz w:val="28"/>
          <w:szCs w:val="24"/>
        </w:rPr>
      </w:pPr>
      <w:r>
        <w:rPr>
          <w:rFonts w:hint="eastAsia" w:ascii="宋体" w:hAnsi="宋体"/>
          <w:sz w:val="28"/>
          <w:szCs w:val="24"/>
        </w:rPr>
        <w:t>《</w:t>
      </w:r>
      <w:r>
        <w:rPr>
          <w:rFonts w:hint="eastAsia" w:ascii="宋体" w:hAnsi="宋体"/>
          <w:szCs w:val="24"/>
        </w:rPr>
        <w:t>规划》以</w:t>
      </w:r>
      <w:r>
        <w:rPr>
          <w:rFonts w:ascii="宋体" w:hAnsi="宋体"/>
          <w:szCs w:val="24"/>
        </w:rPr>
        <w:t>2015</w:t>
      </w:r>
      <w:r>
        <w:rPr>
          <w:rFonts w:hint="eastAsia" w:ascii="宋体" w:hAnsi="宋体"/>
          <w:szCs w:val="24"/>
        </w:rPr>
        <w:t>年为基准期</w:t>
      </w:r>
      <w:r>
        <w:rPr>
          <w:rFonts w:ascii="宋体"/>
          <w:szCs w:val="24"/>
        </w:rPr>
        <w:t>,</w:t>
      </w:r>
      <w:r>
        <w:rPr>
          <w:rFonts w:ascii="宋体" w:hAnsi="宋体"/>
          <w:szCs w:val="24"/>
        </w:rPr>
        <w:t>2016</w:t>
      </w:r>
      <w:r>
        <w:rPr>
          <w:rFonts w:hint="eastAsia" w:ascii="宋体" w:hAnsi="宋体"/>
          <w:szCs w:val="24"/>
        </w:rPr>
        <w:t>年</w:t>
      </w:r>
      <w:r>
        <w:rPr>
          <w:rFonts w:ascii="宋体" w:hAnsi="宋体"/>
          <w:szCs w:val="24"/>
        </w:rPr>
        <w:t>-2020</w:t>
      </w:r>
      <w:r>
        <w:rPr>
          <w:rFonts w:hint="eastAsia" w:ascii="宋体" w:hAnsi="宋体"/>
          <w:szCs w:val="24"/>
        </w:rPr>
        <w:t>年为规划期，展望至</w:t>
      </w:r>
      <w:r>
        <w:rPr>
          <w:rFonts w:ascii="宋体" w:hAnsi="宋体"/>
          <w:szCs w:val="24"/>
        </w:rPr>
        <w:t>2025</w:t>
      </w:r>
      <w:r>
        <w:rPr>
          <w:rFonts w:hint="eastAsia" w:ascii="宋体" w:hAnsi="宋体"/>
          <w:szCs w:val="24"/>
        </w:rPr>
        <w:t>年</w:t>
      </w:r>
      <w:r>
        <w:rPr>
          <w:rFonts w:hint="eastAsia" w:ascii="宋体" w:hAnsi="宋体"/>
          <w:sz w:val="28"/>
          <w:szCs w:val="24"/>
        </w:rPr>
        <w:t>。</w:t>
      </w:r>
    </w:p>
    <w:p w14:paraId="67CF3411">
      <w:pPr>
        <w:spacing w:line="560" w:lineRule="exact"/>
        <w:ind w:firstLine="562"/>
        <w:rPr>
          <w:rFonts w:ascii="宋体"/>
          <w:b/>
          <w:sz w:val="28"/>
          <w:szCs w:val="24"/>
        </w:rPr>
      </w:pPr>
    </w:p>
    <w:p w14:paraId="37D91A16">
      <w:pPr>
        <w:pStyle w:val="2"/>
      </w:pPr>
      <w:bookmarkStart w:id="4" w:name="_Toc508698454"/>
      <w:r>
        <w:rPr>
          <w:rFonts w:hint="eastAsia"/>
        </w:rPr>
        <w:t>第二章</w:t>
      </w:r>
      <w:r>
        <w:t xml:space="preserve">  </w:t>
      </w:r>
      <w:r>
        <w:rPr>
          <w:rFonts w:hint="eastAsia"/>
        </w:rPr>
        <w:t>现状与形势</w:t>
      </w:r>
      <w:bookmarkEnd w:id="4"/>
    </w:p>
    <w:p w14:paraId="4263D4CE">
      <w:pPr>
        <w:pStyle w:val="3"/>
        <w:spacing w:before="156" w:after="156"/>
      </w:pPr>
      <w:bookmarkStart w:id="5" w:name="_Toc508698455"/>
      <w:r>
        <w:rPr>
          <w:rFonts w:hint="eastAsia"/>
        </w:rPr>
        <w:t>第一节</w:t>
      </w:r>
      <w:r>
        <w:t xml:space="preserve">  </w:t>
      </w:r>
      <w:r>
        <w:rPr>
          <w:rFonts w:hint="eastAsia"/>
        </w:rPr>
        <w:t>矿产资源概况及开发利用现状</w:t>
      </w:r>
      <w:bookmarkEnd w:id="5"/>
    </w:p>
    <w:p w14:paraId="7804C5A9">
      <w:pPr>
        <w:ind w:firstLine="482"/>
        <w:rPr>
          <w:b/>
        </w:rPr>
      </w:pPr>
      <w:r>
        <w:rPr>
          <w:rFonts w:hint="eastAsia"/>
          <w:b/>
        </w:rPr>
        <w:t>一、矿产资源概况和主要特点</w:t>
      </w:r>
    </w:p>
    <w:p w14:paraId="5F5BE723">
      <w:pPr>
        <w:ind w:firstLine="480"/>
      </w:pPr>
      <w:r>
        <w:rPr>
          <w:rFonts w:hint="eastAsia"/>
        </w:rPr>
        <w:t>截至</w:t>
      </w:r>
      <w:r>
        <w:t>2016</w:t>
      </w:r>
      <w:r>
        <w:rPr>
          <w:rFonts w:hint="eastAsia"/>
        </w:rPr>
        <w:t>年底，区内经勘查发现的主要矿产有无烟煤、重晶石、水泥用灰岩、砖瓦原料、饰面用灰岩（习称大理石）、建筑用砂、耐火粘土、化肥用硅质原料等</w:t>
      </w:r>
      <w:r>
        <w:t>10</w:t>
      </w:r>
      <w:r>
        <w:rPr>
          <w:rFonts w:hint="eastAsia"/>
        </w:rPr>
        <w:t>余种矿产。主要矿种保有资源储量为：无烟煤、贫煤</w:t>
      </w:r>
      <w:r>
        <w:t>802.9</w:t>
      </w:r>
      <w:r>
        <w:rPr>
          <w:rFonts w:hint="eastAsia"/>
        </w:rPr>
        <w:t>万吨，重晶石</w:t>
      </w:r>
      <w:r>
        <w:t>171.0</w:t>
      </w:r>
      <w:r>
        <w:rPr>
          <w:rFonts w:hint="eastAsia"/>
        </w:rPr>
        <w:t>万吨，砖瓦用页岩</w:t>
      </w:r>
      <w:r>
        <w:t>289.10</w:t>
      </w:r>
      <w:r>
        <w:rPr>
          <w:rFonts w:hint="eastAsia"/>
        </w:rPr>
        <w:t>万吨，石灰岩</w:t>
      </w:r>
      <w:r>
        <w:t>471.8</w:t>
      </w:r>
      <w:r>
        <w:rPr>
          <w:rFonts w:hint="eastAsia"/>
        </w:rPr>
        <w:t>万吨，建筑用砂</w:t>
      </w:r>
      <w:r>
        <w:t>1474.3</w:t>
      </w:r>
      <w:r>
        <w:rPr>
          <w:rFonts w:hint="eastAsia"/>
        </w:rPr>
        <w:t>万立方米，化肥用硅质原料</w:t>
      </w:r>
      <w:r>
        <w:t xml:space="preserve">414.9 </w:t>
      </w:r>
      <w:r>
        <w:rPr>
          <w:rFonts w:hint="eastAsia"/>
        </w:rPr>
        <w:t>万吨，饰面用灰岩</w:t>
      </w:r>
      <w:r>
        <w:t>229.9</w:t>
      </w:r>
      <w:r>
        <w:rPr>
          <w:rFonts w:hint="eastAsia"/>
        </w:rPr>
        <w:t>万吨，地热水资源量</w:t>
      </w:r>
      <w:r>
        <w:t>16.13</w:t>
      </w:r>
      <w:r>
        <w:rPr>
          <w:rFonts w:hint="eastAsia"/>
        </w:rPr>
        <w:t>兆瓦。</w:t>
      </w:r>
    </w:p>
    <w:p w14:paraId="58695D77">
      <w:pPr>
        <w:ind w:firstLine="480"/>
      </w:pPr>
      <w:r>
        <w:rPr>
          <w:rFonts w:hint="eastAsia"/>
        </w:rPr>
        <w:t>贵安新区直管区矿产资源具有以下特点：</w:t>
      </w:r>
    </w:p>
    <w:p w14:paraId="3017E303">
      <w:pPr>
        <w:ind w:firstLine="480"/>
      </w:pPr>
      <w:r>
        <w:rPr>
          <w:rFonts w:hint="eastAsia"/>
        </w:rPr>
        <w:t>（</w:t>
      </w:r>
      <w:r>
        <w:t>1</w:t>
      </w:r>
      <w:r>
        <w:rPr>
          <w:rFonts w:hint="eastAsia"/>
        </w:rPr>
        <w:t>）矿产资源种类少，优势矿种少。主要的矿产为煤矿、重晶石、水泥用灰岩、饰面用石灰岩以及建筑用砂等；</w:t>
      </w:r>
    </w:p>
    <w:p w14:paraId="2D169A96">
      <w:pPr>
        <w:ind w:firstLine="480"/>
      </w:pPr>
      <w:r>
        <w:rPr>
          <w:rFonts w:hint="eastAsia"/>
        </w:rPr>
        <w:t>（</w:t>
      </w:r>
      <w:r>
        <w:t>2</w:t>
      </w:r>
      <w:r>
        <w:rPr>
          <w:rFonts w:hint="eastAsia"/>
        </w:rPr>
        <w:t>）矿产资源分布相对较集中。煤矿主要分布西南活龙</w:t>
      </w:r>
      <w:r>
        <w:t>-</w:t>
      </w:r>
      <w:r>
        <w:rPr>
          <w:rFonts w:hint="eastAsia"/>
        </w:rPr>
        <w:t>晋马一带，南面龙井一带有少量分布；其它矿种基本上为单点分布，如重晶石分布于马场镇北部，硅质原料分布于活龙</w:t>
      </w:r>
      <w:r>
        <w:t>-</w:t>
      </w:r>
      <w:r>
        <w:rPr>
          <w:rFonts w:hint="eastAsia"/>
        </w:rPr>
        <w:t>粟木一带；</w:t>
      </w:r>
    </w:p>
    <w:p w14:paraId="224D90AA">
      <w:pPr>
        <w:ind w:firstLine="480"/>
      </w:pPr>
      <w:r>
        <w:rPr>
          <w:rFonts w:hint="eastAsia"/>
        </w:rPr>
        <w:t>（</w:t>
      </w:r>
      <w:r>
        <w:t>3</w:t>
      </w:r>
      <w:r>
        <w:rPr>
          <w:rFonts w:hint="eastAsia"/>
        </w:rPr>
        <w:t>）饰面用石灰岩、水泥用灰岩储量大，点多面广。如水泥用灰岩在直管区内均有分布；</w:t>
      </w:r>
    </w:p>
    <w:p w14:paraId="727B2B14">
      <w:pPr>
        <w:ind w:firstLine="480"/>
      </w:pPr>
      <w:r>
        <w:rPr>
          <w:rFonts w:hint="eastAsia"/>
        </w:rPr>
        <w:t>（</w:t>
      </w:r>
      <w:r>
        <w:t>4</w:t>
      </w:r>
      <w:r>
        <w:rPr>
          <w:rFonts w:hint="eastAsia"/>
        </w:rPr>
        <w:t>）区内建筑用砂、灰岩矿种，其开发利用技术成熟，市场需求量大，资源优势极易转化为经济优势</w:t>
      </w:r>
    </w:p>
    <w:p w14:paraId="6D6FFBC3">
      <w:pPr>
        <w:ind w:firstLine="480"/>
      </w:pPr>
      <w:r>
        <w:rPr>
          <w:rFonts w:hint="eastAsia"/>
        </w:rPr>
        <w:t>（</w:t>
      </w:r>
      <w:r>
        <w:t>5</w:t>
      </w:r>
      <w:r>
        <w:rPr>
          <w:rFonts w:hint="eastAsia"/>
        </w:rPr>
        <w:t>）</w:t>
      </w:r>
      <w:r>
        <w:rPr>
          <w:rFonts w:hint="eastAsia" w:ascii="宋体" w:hAnsi="宋体"/>
        </w:rPr>
        <w:t>贵安新区直管区处于扬子准地台黔北台隆之遵义断拱贵阳复杂构造变形区和黔南台陷之贵定南北向构造变形区，各个方向的延伸较远、切割深度较深的深大断裂十分发育，且在挽近时期仍在活动，断裂破碎带的地热水资源蕴藏量较大，是今后开发的绿色能源。</w:t>
      </w:r>
    </w:p>
    <w:p w14:paraId="231984DF">
      <w:pPr>
        <w:ind w:firstLine="482"/>
        <w:rPr>
          <w:b/>
        </w:rPr>
      </w:pPr>
      <w:r>
        <w:rPr>
          <w:rFonts w:hint="eastAsia"/>
          <w:b/>
        </w:rPr>
        <w:t>二、矿产资源勘查</w:t>
      </w:r>
    </w:p>
    <w:p w14:paraId="273B1906">
      <w:pPr>
        <w:ind w:firstLine="480"/>
      </w:pPr>
      <w:r>
        <w:rPr>
          <w:rFonts w:hint="eastAsia"/>
        </w:rPr>
        <w:t>截至</w:t>
      </w:r>
      <w:r>
        <w:t>2016</w:t>
      </w:r>
      <w:r>
        <w:rPr>
          <w:rFonts w:hint="eastAsia"/>
        </w:rPr>
        <w:t>年，区内煤矿勘查程度较高，但是化肥用硅质原料、重晶石仅达到普查程度。地热水资源已近在全区开展过整装勘查工作。</w:t>
      </w:r>
    </w:p>
    <w:p w14:paraId="62529F72">
      <w:pPr>
        <w:ind w:firstLine="480"/>
      </w:pPr>
      <w:r>
        <w:rPr>
          <w:rFonts w:hint="eastAsia"/>
        </w:rPr>
        <w:t>根据</w:t>
      </w:r>
      <w:r>
        <w:t>2015</w:t>
      </w:r>
      <w:r>
        <w:rPr>
          <w:rFonts w:hint="eastAsia"/>
        </w:rPr>
        <w:t>年贵州省地矿局</w:t>
      </w:r>
      <w:r>
        <w:t>114</w:t>
      </w:r>
      <w:r>
        <w:rPr>
          <w:rFonts w:hint="eastAsia"/>
        </w:rPr>
        <w:t>地质大队提交的《贵州省贵安新区地热水资源整装勘查报告》，在该区高峰镇东吹村已成功钻探了一口地热井</w:t>
      </w:r>
      <w:r>
        <w:t>CK2</w:t>
      </w:r>
      <w:r>
        <w:rPr>
          <w:rFonts w:hint="eastAsia"/>
        </w:rPr>
        <w:t>，井深为</w:t>
      </w:r>
      <w:r>
        <w:t>2503.02</w:t>
      </w:r>
      <w:r>
        <w:rPr>
          <w:rFonts w:hint="eastAsia"/>
        </w:rPr>
        <w:t>米，地热水资源量为</w:t>
      </w:r>
      <w:r>
        <w:t xml:space="preserve">903m </w:t>
      </w:r>
      <w:r>
        <w:rPr>
          <w:vertAlign w:val="superscript"/>
        </w:rPr>
        <w:t>3</w:t>
      </w:r>
      <w:r>
        <w:t xml:space="preserve"> /d</w:t>
      </w:r>
      <w:r>
        <w:rPr>
          <w:rFonts w:hint="eastAsia"/>
        </w:rPr>
        <w:t>（</w:t>
      </w:r>
      <w:r>
        <w:t xml:space="preserve">Q50 </w:t>
      </w:r>
      <w:r>
        <w:rPr>
          <w:rFonts w:hint="eastAsia"/>
        </w:rPr>
        <w:t>可开采资源量为</w:t>
      </w:r>
      <w:r>
        <w:t xml:space="preserve"> 21.44 </w:t>
      </w:r>
      <w:r>
        <w:rPr>
          <w:rFonts w:hint="eastAsia"/>
        </w:rPr>
        <w:t>万</w:t>
      </w:r>
      <w:r>
        <w:t xml:space="preserve"> m</w:t>
      </w:r>
      <w:r>
        <w:rPr>
          <w:vertAlign w:val="superscript"/>
        </w:rPr>
        <w:t xml:space="preserve">3 </w:t>
      </w:r>
      <w:r>
        <w:t>/a</w:t>
      </w:r>
      <w:r>
        <w:rPr>
          <w:rFonts w:hint="eastAsia"/>
        </w:rPr>
        <w:t>），井口水温</w:t>
      </w:r>
      <w:r>
        <w:t xml:space="preserve"> 53</w:t>
      </w:r>
      <w:r>
        <w:rPr>
          <w:rFonts w:hint="eastAsia"/>
        </w:rPr>
        <w:t>℃。目前该区未设置地热水探矿权。</w:t>
      </w:r>
    </w:p>
    <w:p w14:paraId="2460D283">
      <w:pPr>
        <w:ind w:firstLine="480"/>
      </w:pPr>
      <w:r>
        <w:rPr>
          <w:rFonts w:hint="eastAsia" w:ascii="宋体" w:hAnsi="宋体"/>
        </w:rPr>
        <w:t>建材类的大理石、建筑用砂、饰面用灰岩等砂石矿产的勘查程度较低。这对于新成立的新区来说，基础设施的建设需要大量的砂石矿，因此砂石矿的勘查工作是今后的重点。</w:t>
      </w:r>
    </w:p>
    <w:p w14:paraId="09DFA409">
      <w:pPr>
        <w:ind w:firstLine="482"/>
        <w:rPr>
          <w:b/>
        </w:rPr>
      </w:pPr>
      <w:r>
        <w:rPr>
          <w:rFonts w:hint="eastAsia"/>
          <w:b/>
        </w:rPr>
        <w:t>三、开发利用现状</w:t>
      </w:r>
    </w:p>
    <w:p w14:paraId="3454ECCD">
      <w:pPr>
        <w:ind w:firstLine="480"/>
      </w:pPr>
      <w:r>
        <w:rPr>
          <w:rFonts w:hint="eastAsia"/>
        </w:rPr>
        <w:t>本轮规划基期年为</w:t>
      </w:r>
      <w:r>
        <w:t>2015</w:t>
      </w:r>
      <w:r>
        <w:rPr>
          <w:rFonts w:hint="eastAsia"/>
        </w:rPr>
        <w:t>年，截止</w:t>
      </w:r>
      <w:r>
        <w:t>2015</w:t>
      </w:r>
      <w:r>
        <w:rPr>
          <w:rFonts w:hint="eastAsia"/>
        </w:rPr>
        <w:t>年年底，贵安新区直管区内有效的持证开采矿山仅</w:t>
      </w:r>
      <w:r>
        <w:t>1</w:t>
      </w:r>
      <w:r>
        <w:rPr>
          <w:rFonts w:hint="eastAsia"/>
        </w:rPr>
        <w:t>个，产量为</w:t>
      </w:r>
      <w:r>
        <w:t>23</w:t>
      </w:r>
      <w:r>
        <w:rPr>
          <w:rFonts w:hint="eastAsia"/>
        </w:rPr>
        <w:t>万吨，矿业产值为</w:t>
      </w:r>
      <w:r>
        <w:t>1932</w:t>
      </w:r>
      <w:r>
        <w:rPr>
          <w:rFonts w:hint="eastAsia"/>
        </w:rPr>
        <w:t>万元，为贵安新区的主要矿产之一，目前该矿山处于生产状态，开采的矿种为建筑用砂，开采规模中型。有</w:t>
      </w:r>
      <w:r>
        <w:t>46</w:t>
      </w:r>
      <w:r>
        <w:rPr>
          <w:rFonts w:hint="eastAsia"/>
        </w:rPr>
        <w:t>个矿山已关闭。</w:t>
      </w:r>
    </w:p>
    <w:p w14:paraId="0C8D050F">
      <w:pPr>
        <w:ind w:firstLine="482"/>
        <w:rPr>
          <w:b/>
        </w:rPr>
      </w:pPr>
      <w:r>
        <w:rPr>
          <w:rFonts w:hint="eastAsia"/>
          <w:b/>
        </w:rPr>
        <w:t>四、矿山地质环境治理</w:t>
      </w:r>
    </w:p>
    <w:p w14:paraId="2865A995">
      <w:pPr>
        <w:ind w:firstLine="480"/>
      </w:pPr>
      <w:r>
        <w:rPr>
          <w:rFonts w:hint="eastAsia"/>
        </w:rPr>
        <w:t>截止</w:t>
      </w:r>
      <w:r>
        <w:t>2016</w:t>
      </w:r>
      <w:r>
        <w:rPr>
          <w:rFonts w:hint="eastAsia"/>
        </w:rPr>
        <w:t>年底，贵安新区直管区内完了</w:t>
      </w:r>
      <w:r>
        <w:t>3</w:t>
      </w:r>
      <w:r>
        <w:rPr>
          <w:rFonts w:hint="eastAsia"/>
        </w:rPr>
        <w:t>个矿山的地质环境治理恢复工程，累计恢复治理土地面积约</w:t>
      </w:r>
      <w:r>
        <w:t>0.13km</w:t>
      </w:r>
      <w:r>
        <w:rPr>
          <w:vertAlign w:val="superscript"/>
        </w:rPr>
        <w:t>2</w:t>
      </w:r>
      <w:r>
        <w:rPr>
          <w:rFonts w:hint="eastAsia"/>
        </w:rPr>
        <w:t>。此外，贵安新区直管区内已未进行建设的</w:t>
      </w:r>
      <w:r>
        <w:t>2</w:t>
      </w:r>
      <w:r>
        <w:rPr>
          <w:rFonts w:hint="eastAsia"/>
        </w:rPr>
        <w:t>个关闭矿山，未进行开发利用，环境现状保持良好。</w:t>
      </w:r>
      <w:r>
        <w:t>41</w:t>
      </w:r>
      <w:r>
        <w:rPr>
          <w:rFonts w:hint="eastAsia"/>
        </w:rPr>
        <w:t>个已关闭矿山的地质环境未进行治理恢复。目前，贵安新区直管区的矿山复绿治理程度较低。</w:t>
      </w:r>
    </w:p>
    <w:p w14:paraId="72BC3984">
      <w:pPr>
        <w:ind w:firstLine="482"/>
        <w:rPr>
          <w:b/>
        </w:rPr>
      </w:pPr>
      <w:r>
        <w:rPr>
          <w:rFonts w:hint="eastAsia"/>
          <w:b/>
        </w:rPr>
        <w:t>五、矿业经济发展现状和问题</w:t>
      </w:r>
    </w:p>
    <w:p w14:paraId="07B6FA8B">
      <w:pPr>
        <w:ind w:firstLine="480"/>
      </w:pPr>
      <w:r>
        <w:rPr>
          <w:rFonts w:hint="eastAsia"/>
        </w:rPr>
        <w:t>贵安新区直管区砂石矿资源开采，对于满足基础设施、城镇化建设起到重要作用，促进了当地经济和社会发展。区内砂石矿矿山，非法乱采乱挖得到全面遏制，矿山环境保护与治理取得一定进展，矿山布局向合理化发展。目前矿山开发存在的主要问题有：</w:t>
      </w:r>
    </w:p>
    <w:p w14:paraId="46EAAE1E">
      <w:pPr>
        <w:ind w:firstLine="480"/>
      </w:pPr>
      <w:r>
        <w:t>1</w:t>
      </w:r>
      <w:r>
        <w:rPr>
          <w:rFonts w:hint="eastAsia"/>
        </w:rPr>
        <w:t>、矿山规模小</w:t>
      </w:r>
    </w:p>
    <w:p w14:paraId="0D22EADE">
      <w:pPr>
        <w:ind w:firstLine="480"/>
      </w:pPr>
      <w:r>
        <w:rPr>
          <w:rFonts w:hint="eastAsia"/>
        </w:rPr>
        <w:t>现有正在开采的一个矿山，未能实现规模化开采。</w:t>
      </w:r>
    </w:p>
    <w:p w14:paraId="54E76395">
      <w:pPr>
        <w:ind w:firstLine="480"/>
      </w:pPr>
      <w:r>
        <w:t>3</w:t>
      </w:r>
      <w:r>
        <w:rPr>
          <w:rFonts w:hint="eastAsia"/>
        </w:rPr>
        <w:t>、矿山安全环境较差</w:t>
      </w:r>
    </w:p>
    <w:p w14:paraId="78AD55B4">
      <w:pPr>
        <w:ind w:firstLine="480"/>
      </w:pPr>
      <w:r>
        <w:rPr>
          <w:rFonts w:hint="eastAsia"/>
        </w:rPr>
        <w:t>矿山开采对周边环境影响较严重，方式粗放，机械化程度低，矿山实际生产能力远大于矿山设计生产规模；矿山企业主要负责人和从业人员安全意识较差，安全标示不明晰，矿山存在安全隐患多。</w:t>
      </w:r>
    </w:p>
    <w:p w14:paraId="272E7A33">
      <w:pPr>
        <w:ind w:firstLine="480"/>
      </w:pPr>
      <w:r>
        <w:t>4</w:t>
      </w:r>
      <w:r>
        <w:rPr>
          <w:rFonts w:hint="eastAsia"/>
        </w:rPr>
        <w:t>、矿山开采可能引发地质灾害</w:t>
      </w:r>
    </w:p>
    <w:p w14:paraId="34A72AC1">
      <w:pPr>
        <w:ind w:firstLine="480"/>
      </w:pPr>
      <w:r>
        <w:rPr>
          <w:rFonts w:hint="eastAsia"/>
        </w:rPr>
        <w:t>有的矿山采面较陡，易诱发滑坡、崩塌等地质灾害。</w:t>
      </w:r>
    </w:p>
    <w:p w14:paraId="13391EA2">
      <w:pPr>
        <w:ind w:firstLine="480"/>
      </w:pPr>
      <w:r>
        <w:t>5</w:t>
      </w:r>
      <w:r>
        <w:rPr>
          <w:rFonts w:hint="eastAsia"/>
        </w:rPr>
        <w:t>、矿山的地质环境保护与恢复治理较差。</w:t>
      </w:r>
    </w:p>
    <w:p w14:paraId="0ACA3B94">
      <w:pPr>
        <w:ind w:firstLine="480"/>
      </w:pPr>
      <w:r>
        <w:rPr>
          <w:rFonts w:hint="eastAsia"/>
        </w:rPr>
        <w:t>目前，有</w:t>
      </w:r>
      <w:r>
        <w:t>41</w:t>
      </w:r>
      <w:r>
        <w:rPr>
          <w:rFonts w:hint="eastAsia"/>
        </w:rPr>
        <w:t>个已关闭矿山的地质环境未进行治理恢复。</w:t>
      </w:r>
    </w:p>
    <w:p w14:paraId="03EF2E5F">
      <w:pPr>
        <w:ind w:firstLine="482"/>
        <w:rPr>
          <w:b/>
        </w:rPr>
      </w:pPr>
      <w:r>
        <w:rPr>
          <w:rFonts w:hint="eastAsia"/>
          <w:b/>
        </w:rPr>
        <w:t>六、主要成效</w:t>
      </w:r>
    </w:p>
    <w:p w14:paraId="4A3B5E96">
      <w:pPr>
        <w:ind w:firstLine="480"/>
      </w:pPr>
      <w:r>
        <w:rPr>
          <w:rFonts w:hint="eastAsia"/>
        </w:rPr>
        <w:t>由于贵安新区为</w:t>
      </w:r>
      <w:r>
        <w:t>2014</w:t>
      </w:r>
      <w:r>
        <w:rPr>
          <w:rFonts w:hint="eastAsia"/>
        </w:rPr>
        <w:t>年成立的新区，贵安新区直管区包括安顺市平坝县、花溪区、清镇市三个地区的部分乡镇，上述三个地区的第二轮矿产资源规划均已完成并实施。第二轮矿产资源规划实施以来，目标任务实现情况总体良好，在超前谋划发展举措、统筹协调工作布局规范矿产资源勘查开发管理、引导社会资金投入勘查开发等方面发挥了重要基础保障作用，服务找矿突破和矿产资源管理取得明显成效，为贵安新区直管区的经济发展和社会发展发挥了重要的支撑和保障作用。</w:t>
      </w:r>
    </w:p>
    <w:p w14:paraId="3D6B9113">
      <w:pPr>
        <w:pStyle w:val="3"/>
        <w:spacing w:before="156" w:after="156"/>
      </w:pPr>
      <w:bookmarkStart w:id="6" w:name="_Toc508698456"/>
      <w:r>
        <w:rPr>
          <w:rFonts w:hint="eastAsia"/>
        </w:rPr>
        <w:t>第二节</w:t>
      </w:r>
      <w:r>
        <w:t xml:space="preserve">  </w:t>
      </w:r>
      <w:r>
        <w:rPr>
          <w:rFonts w:hint="eastAsia"/>
        </w:rPr>
        <w:t>形势与需求</w:t>
      </w:r>
      <w:bookmarkEnd w:id="6"/>
    </w:p>
    <w:p w14:paraId="3C1F16D6">
      <w:pPr>
        <w:ind w:firstLine="480"/>
      </w:pPr>
      <w:r>
        <w:t>2014</w:t>
      </w:r>
      <w:r>
        <w:rPr>
          <w:rFonts w:hint="eastAsia"/>
        </w:rPr>
        <w:t>年</w:t>
      </w:r>
      <w:r>
        <w:t>1</w:t>
      </w:r>
      <w:r>
        <w:rPr>
          <w:rFonts w:hint="eastAsia"/>
        </w:rPr>
        <w:t>月国务院同意印发了《国务院关于同意设立贵州贵安新区的批复》</w:t>
      </w:r>
      <w:r>
        <w:t>(</w:t>
      </w:r>
      <w:r>
        <w:rPr>
          <w:rFonts w:hint="eastAsia"/>
        </w:rPr>
        <w:t>国函</w:t>
      </w:r>
      <w:r>
        <w:t>[2014]3</w:t>
      </w:r>
      <w:r>
        <w:rPr>
          <w:rFonts w:hint="eastAsia"/>
        </w:rPr>
        <w:t>号</w:t>
      </w:r>
      <w:r>
        <w:t>)</w:t>
      </w:r>
      <w:r>
        <w:rPr>
          <w:rFonts w:hint="eastAsia"/>
        </w:rPr>
        <w:t>同意设立贵安新区，战略定位为</w:t>
      </w:r>
      <w:r>
        <w:t>:</w:t>
      </w:r>
      <w:r>
        <w:rPr>
          <w:rFonts w:hint="eastAsia"/>
        </w:rPr>
        <w:t>西部地区重要的经济增长型、内陆开放型经济新高地和生态文明示范区。根据《贵安新区总体规划（</w:t>
      </w:r>
      <w:r>
        <w:t>2013-2030</w:t>
      </w:r>
      <w:r>
        <w:rPr>
          <w:rFonts w:hint="eastAsia"/>
        </w:rPr>
        <w:t>年）》的要求，将贵安新区建设成“生态文明示范区”的总体要求，将对贵安新区的矿业发展面临新的形势。</w:t>
      </w:r>
    </w:p>
    <w:p w14:paraId="3103B3F4">
      <w:pPr>
        <w:ind w:firstLine="482"/>
        <w:rPr>
          <w:b/>
        </w:rPr>
      </w:pPr>
      <w:r>
        <w:rPr>
          <w:rFonts w:hint="eastAsia"/>
          <w:b/>
        </w:rPr>
        <w:t>一、地热资源的形势与需求</w:t>
      </w:r>
    </w:p>
    <w:p w14:paraId="27346722">
      <w:pPr>
        <w:ind w:firstLine="540" w:firstLineChars="225"/>
      </w:pPr>
      <w:r>
        <w:rPr>
          <w:rFonts w:hint="eastAsia"/>
        </w:rPr>
        <w:t>贵州省第十二次党代会，明确提出要打造“地热温泉省”，大力发展“温泉经济”。同时贵安新区</w:t>
      </w:r>
      <w:r>
        <w:rPr>
          <w:rFonts w:hint="eastAsia" w:ascii="宋体" w:hAnsi="宋体"/>
        </w:rPr>
        <w:t>处于扬子准地台黔北台隆之遵义断拱贵阳复杂构造变形区和黔南台陷之贵定南北向构造变形区，各个方向的延伸较远、切割深度较深的深大断裂十分发育，且在挽近时期仍在活动，断裂破碎带的地热水资源蕴藏量较大，地热资源丰富。</w:t>
      </w:r>
    </w:p>
    <w:p w14:paraId="56E7C34F">
      <w:pPr>
        <w:ind w:firstLine="540" w:firstLineChars="225"/>
        <w:rPr>
          <w:rFonts w:ascii="宋体"/>
          <w:szCs w:val="24"/>
        </w:rPr>
      </w:pPr>
      <w:r>
        <w:rPr>
          <w:rFonts w:hint="eastAsia" w:ascii="宋体" w:hAnsi="宋体"/>
          <w:szCs w:val="24"/>
        </w:rPr>
        <w:t>贵安新区面向国际化山水田园生态城市建设的发展方向，紧跟贵州省生态文明建设步伐。生态环境和人文条件、秀美的自然山水和丰富而原真的民族文化资源，文化休闲产业发展方兴未艾，将地热资源勘查开发与发展休闲旅游产业，与“大扶贫、大发展”战略相结合。</w:t>
      </w:r>
    </w:p>
    <w:p w14:paraId="4FCE42A4">
      <w:pPr>
        <w:ind w:firstLine="540" w:firstLineChars="225"/>
        <w:rPr>
          <w:rFonts w:ascii="宋体"/>
          <w:szCs w:val="24"/>
        </w:rPr>
      </w:pPr>
      <w:r>
        <w:rPr>
          <w:rFonts w:hint="eastAsia" w:ascii="宋体" w:hAnsi="宋体"/>
          <w:szCs w:val="24"/>
        </w:rPr>
        <w:t>贵安新区将成为具有一定国际影响力的现代服务业发展区、国家级现代服务业发展的示范基地、西南地区有重要品牌影响力和市场辐射力的现代服务业发展区、推动贵州省现代服务业发展的核心增长区。将贵安新区发展成为国家级大数据产业基地、全国性文化旅游基地、西南重要的大健康产业园、绿色金融中心、智慧物流基地、创意产业和人才培养基地，贵州省重要的高端生态居住区。将会加大该区的能源需求，浅层地热、地热温泉等新能源供应需求将大大增加。</w:t>
      </w:r>
    </w:p>
    <w:p w14:paraId="70CF3D7E">
      <w:pPr>
        <w:ind w:firstLine="482"/>
        <w:rPr>
          <w:b/>
        </w:rPr>
      </w:pPr>
      <w:r>
        <w:rPr>
          <w:rFonts w:hint="eastAsia"/>
          <w:b/>
        </w:rPr>
        <w:t>二、砂石矿的需求与形势</w:t>
      </w:r>
    </w:p>
    <w:p w14:paraId="21CBC653">
      <w:pPr>
        <w:ind w:firstLine="480"/>
        <w:rPr>
          <w:rFonts w:ascii="宋体"/>
        </w:rPr>
      </w:pPr>
      <w:r>
        <w:rPr>
          <w:rFonts w:hint="eastAsia"/>
        </w:rPr>
        <w:t>由于贵安新区成立时间很短，区内目前正在建设，区内的建设主要集中在：</w:t>
      </w:r>
      <w:r>
        <w:rPr>
          <w:rFonts w:hint="eastAsia" w:ascii="宋体" w:hAnsi="宋体"/>
        </w:rPr>
        <w:t>一是加快交通基础设施建设：全面建成</w:t>
      </w:r>
      <w:r>
        <w:rPr>
          <w:rFonts w:hint="eastAsia" w:ascii="宋体"/>
        </w:rPr>
        <w:t>“</w:t>
      </w:r>
      <w:r>
        <w:rPr>
          <w:rFonts w:hint="eastAsia" w:ascii="宋体" w:hAnsi="宋体"/>
        </w:rPr>
        <w:t>八横四纵</w:t>
      </w:r>
      <w:r>
        <w:rPr>
          <w:rFonts w:hint="eastAsia" w:ascii="宋体"/>
        </w:rPr>
        <w:t>”</w:t>
      </w:r>
      <w:r>
        <w:rPr>
          <w:rFonts w:hint="eastAsia" w:ascii="宋体" w:hAnsi="宋体"/>
        </w:rPr>
        <w:t>骨干路网，形成内外互联互通的交通路网。开工建设贵安高铁站和贵阳市域快铁贵安段。二是加快市政配套设施建设：建成</w:t>
      </w:r>
      <w:r>
        <w:rPr>
          <w:rFonts w:ascii="宋体" w:hAnsi="宋体"/>
        </w:rPr>
        <w:t>3</w:t>
      </w:r>
      <w:r>
        <w:rPr>
          <w:rFonts w:hint="eastAsia" w:ascii="宋体" w:hAnsi="宋体"/>
        </w:rPr>
        <w:t>个变电站、</w:t>
      </w:r>
      <w:r>
        <w:rPr>
          <w:rFonts w:ascii="宋体" w:hAnsi="宋体"/>
        </w:rPr>
        <w:t>1</w:t>
      </w:r>
      <w:r>
        <w:rPr>
          <w:rFonts w:hint="eastAsia" w:ascii="宋体" w:hAnsi="宋体"/>
        </w:rPr>
        <w:t>个水厂。开工建设</w:t>
      </w:r>
      <w:r>
        <w:rPr>
          <w:rFonts w:ascii="宋体" w:hAnsi="宋体"/>
        </w:rPr>
        <w:t>23</w:t>
      </w:r>
      <w:r>
        <w:rPr>
          <w:rFonts w:hint="eastAsia" w:ascii="宋体" w:hAnsi="宋体"/>
        </w:rPr>
        <w:t>个输变电工程和</w:t>
      </w:r>
      <w:r>
        <w:rPr>
          <w:rFonts w:ascii="宋体" w:hAnsi="宋体"/>
        </w:rPr>
        <w:t>243</w:t>
      </w:r>
      <w:r>
        <w:rPr>
          <w:rFonts w:hint="eastAsia" w:ascii="宋体" w:hAnsi="宋体"/>
        </w:rPr>
        <w:t>公里城市供水管网、再生水管网项目。三是加快服务功能建设：建成电子信息产业园综合体和群升大智汇综合体（一期）并投入使用，加快建设贵安华润中心、娃哈哈等综合体项目，开工建设中心区一批重点公共服务设施。贵安新区湖潮乡双兴水泥砖厂、贵阳花溪才友砖厂、贵阳市花溪川鑫制砖厂、贵州贵安新区联顺建材有限公司为主的建材工业企业等需要大量的砂石矿。根据新区建设情况对砂石矿需求量进行综合研究与概算，</w:t>
      </w:r>
      <w:r>
        <w:rPr>
          <w:rFonts w:ascii="宋体" w:hAnsi="宋体"/>
        </w:rPr>
        <w:t>2014—2016</w:t>
      </w:r>
      <w:r>
        <w:rPr>
          <w:rFonts w:hint="eastAsia" w:ascii="宋体" w:hAnsi="宋体"/>
        </w:rPr>
        <w:t>年砂石矿需求量呈快速增长趋势，</w:t>
      </w:r>
      <w:r>
        <w:rPr>
          <w:rFonts w:ascii="宋体" w:hAnsi="宋体"/>
        </w:rPr>
        <w:t>2017—2020</w:t>
      </w:r>
      <w:r>
        <w:rPr>
          <w:rFonts w:hint="eastAsia" w:ascii="宋体" w:hAnsi="宋体"/>
        </w:rPr>
        <w:t>年将逐年稳步增长，</w:t>
      </w:r>
      <w:r>
        <w:rPr>
          <w:rFonts w:ascii="宋体" w:hAnsi="宋体"/>
        </w:rPr>
        <w:t>2015</w:t>
      </w:r>
      <w:r>
        <w:rPr>
          <w:rFonts w:hint="eastAsia" w:ascii="宋体" w:hAnsi="宋体"/>
        </w:rPr>
        <w:t>年直管区砂石需求</w:t>
      </w:r>
      <w:r>
        <w:rPr>
          <w:rFonts w:ascii="宋体" w:hAnsi="宋体"/>
        </w:rPr>
        <w:t>96</w:t>
      </w:r>
      <w:r>
        <w:rPr>
          <w:rFonts w:hint="eastAsia" w:ascii="宋体" w:hAnsi="宋体"/>
        </w:rPr>
        <w:t>万立方米</w:t>
      </w:r>
      <w:r>
        <w:rPr>
          <w:rFonts w:ascii="宋体" w:hAnsi="宋体"/>
        </w:rPr>
        <w:t>/</w:t>
      </w:r>
      <w:r>
        <w:rPr>
          <w:rFonts w:hint="eastAsia" w:ascii="宋体" w:hAnsi="宋体"/>
        </w:rPr>
        <w:t>年，按年均增长</w:t>
      </w:r>
      <w:r>
        <w:rPr>
          <w:rFonts w:ascii="宋体" w:hAnsi="宋体"/>
        </w:rPr>
        <w:t>10%</w:t>
      </w:r>
      <w:r>
        <w:rPr>
          <w:rFonts w:hint="eastAsia" w:ascii="宋体" w:hAnsi="宋体"/>
        </w:rPr>
        <w:t>计，到</w:t>
      </w:r>
      <w:r>
        <w:rPr>
          <w:rFonts w:ascii="宋体" w:hAnsi="宋体"/>
        </w:rPr>
        <w:t>2020</w:t>
      </w:r>
      <w:r>
        <w:rPr>
          <w:rFonts w:hint="eastAsia" w:ascii="宋体" w:hAnsi="宋体"/>
        </w:rPr>
        <w:t>年，砂石需求达到</w:t>
      </w:r>
      <w:r>
        <w:rPr>
          <w:rFonts w:ascii="宋体" w:hAnsi="宋体"/>
        </w:rPr>
        <w:t>106</w:t>
      </w:r>
      <w:r>
        <w:rPr>
          <w:rFonts w:hint="eastAsia" w:ascii="宋体" w:hAnsi="宋体"/>
        </w:rPr>
        <w:t>万立方米</w:t>
      </w:r>
      <w:r>
        <w:rPr>
          <w:rFonts w:ascii="宋体" w:hAnsi="宋体"/>
        </w:rPr>
        <w:t>/</w:t>
      </w:r>
      <w:r>
        <w:rPr>
          <w:rFonts w:hint="eastAsia" w:ascii="宋体" w:hAnsi="宋体"/>
        </w:rPr>
        <w:t>年。区内砂石矿资源现有年产量为</w:t>
      </w:r>
      <w:r>
        <w:rPr>
          <w:rFonts w:ascii="宋体" w:hAnsi="宋体"/>
        </w:rPr>
        <w:t>96</w:t>
      </w:r>
      <w:r>
        <w:rPr>
          <w:rFonts w:hint="eastAsia" w:ascii="宋体" w:hAnsi="宋体"/>
        </w:rPr>
        <w:t>万立方米，远远低于需求，缺口很大，必须提高生产规模，实行集约化开采；除充分利用区内资源外，尚需就近充分利用周边临近乡镇（长顺凯佐乡、花溪区马铃布依族苗族乡等）的砂石矿资源，满足贵安新区直管区建设的需求。</w:t>
      </w:r>
    </w:p>
    <w:p w14:paraId="4E6A4D1C">
      <w:pPr>
        <w:pStyle w:val="2"/>
      </w:pPr>
      <w:bookmarkStart w:id="7" w:name="_Toc508698457"/>
      <w:r>
        <w:rPr>
          <w:rFonts w:hint="eastAsia"/>
        </w:rPr>
        <w:t>第三章</w:t>
      </w:r>
      <w:r>
        <w:t xml:space="preserve">  </w:t>
      </w:r>
      <w:r>
        <w:rPr>
          <w:rFonts w:hint="eastAsia"/>
        </w:rPr>
        <w:t>指导原则与目标</w:t>
      </w:r>
      <w:bookmarkEnd w:id="7"/>
    </w:p>
    <w:p w14:paraId="28C26E03">
      <w:pPr>
        <w:pStyle w:val="3"/>
        <w:spacing w:before="156" w:after="156"/>
      </w:pPr>
      <w:bookmarkStart w:id="8" w:name="_Toc508698458"/>
      <w:r>
        <w:rPr>
          <w:rFonts w:hint="eastAsia"/>
        </w:rPr>
        <w:t>第一节</w:t>
      </w:r>
      <w:r>
        <w:t xml:space="preserve">  </w:t>
      </w:r>
      <w:r>
        <w:rPr>
          <w:rFonts w:hint="eastAsia"/>
        </w:rPr>
        <w:t>指导原则</w:t>
      </w:r>
      <w:bookmarkEnd w:id="8"/>
    </w:p>
    <w:p w14:paraId="7ABF89A9">
      <w:pPr>
        <w:ind w:firstLine="482"/>
        <w:rPr>
          <w:b/>
        </w:rPr>
      </w:pPr>
      <w:r>
        <w:rPr>
          <w:rFonts w:hint="eastAsia"/>
          <w:b/>
        </w:rPr>
        <w:t>一、指导思想</w:t>
      </w:r>
    </w:p>
    <w:p w14:paraId="16EAEFBD">
      <w:pPr>
        <w:ind w:firstLine="480"/>
      </w:pPr>
      <w:r>
        <w:rPr>
          <w:rFonts w:hint="eastAsia"/>
        </w:rPr>
        <w:t>全面贯彻党的十八大和十八届三中、四中、五中、六中全会精神，深入贯彻习近平总书记系列重要讲话精神和治国理政新理念思想新战略，认真落实党中央、国务院决策部署，统筹推进“五位一体”总体布局和协调推进“四个全面”战略布局，牢固树立和贯彻落实创新、协调、绿色、开放、共享的发展理念，主导适应经济发展新常态，坚持尽职尽责保护国土资源、节约集约利用国土资源，尽心尽力维护群众权益，为贵安新区经济社会建设提供可靠的资源保障。</w:t>
      </w:r>
    </w:p>
    <w:p w14:paraId="1425705E">
      <w:pPr>
        <w:ind w:firstLine="480"/>
      </w:pPr>
      <w:r>
        <w:t>2014</w:t>
      </w:r>
      <w:r>
        <w:rPr>
          <w:rFonts w:hint="eastAsia"/>
        </w:rPr>
        <w:t>年</w:t>
      </w:r>
      <w:r>
        <w:t>1</w:t>
      </w:r>
      <w:r>
        <w:rPr>
          <w:rFonts w:hint="eastAsia"/>
        </w:rPr>
        <w:t>月国务院同意印发了《国务院关于同意设立贵州贵安新区的批复》</w:t>
      </w:r>
      <w:r>
        <w:t>(</w:t>
      </w:r>
      <w:r>
        <w:rPr>
          <w:rFonts w:hint="eastAsia"/>
        </w:rPr>
        <w:t>国函</w:t>
      </w:r>
      <w:r>
        <w:t>[2014]3</w:t>
      </w:r>
      <w:r>
        <w:rPr>
          <w:rFonts w:hint="eastAsia"/>
        </w:rPr>
        <w:t>号</w:t>
      </w:r>
      <w:r>
        <w:t>)</w:t>
      </w:r>
      <w:r>
        <w:rPr>
          <w:rFonts w:hint="eastAsia"/>
        </w:rPr>
        <w:t>同意设立贵安新区，战略定位为</w:t>
      </w:r>
      <w:r>
        <w:t>:</w:t>
      </w:r>
      <w:r>
        <w:rPr>
          <w:rFonts w:hint="eastAsia"/>
        </w:rPr>
        <w:t>西部地区重要的经济增长型、内陆开放型经济新高地和生态文明示范区。贵安新区是贵阳和安顺两市一体化发展的新区，是将贵阳市和安顺市连接成带的一个较大规模的集中连片开发的空间区域，是一个内陆经济开发开放示范新区。</w:t>
      </w:r>
    </w:p>
    <w:p w14:paraId="44F25007">
      <w:pPr>
        <w:ind w:firstLine="480"/>
      </w:pPr>
      <w:r>
        <w:rPr>
          <w:rFonts w:hint="eastAsia"/>
        </w:rPr>
        <w:t>依据《贵州省矿产资源总体规划（</w:t>
      </w:r>
      <w:r>
        <w:t>2016-2020</w:t>
      </w:r>
      <w:r>
        <w:rPr>
          <w:rFonts w:hint="eastAsia"/>
        </w:rPr>
        <w:t>年）》、</w:t>
      </w:r>
      <w:r>
        <w:rPr>
          <w:rFonts w:hint="eastAsia" w:ascii="宋体" w:hAnsi="宋体"/>
          <w:szCs w:val="24"/>
        </w:rPr>
        <w:t>《贵安新区总体规划（</w:t>
      </w:r>
      <w:r>
        <w:rPr>
          <w:rFonts w:ascii="宋体" w:hAnsi="宋体"/>
          <w:szCs w:val="24"/>
        </w:rPr>
        <w:t>2013-2030</w:t>
      </w:r>
      <w:r>
        <w:rPr>
          <w:rFonts w:hint="eastAsia" w:ascii="宋体" w:hAnsi="宋体"/>
          <w:szCs w:val="24"/>
        </w:rPr>
        <w:t>年）》</w:t>
      </w:r>
      <w:r>
        <w:rPr>
          <w:rFonts w:hint="eastAsia"/>
        </w:rPr>
        <w:t>，落实党中央、国务院决策部署，统筹推进“五位一体”总体布局和协调推进“四个全面”战略布局，牢固树立和贯彻落实创新、协调、绿色、开放、共享的发展理念，主动适应经济发展新常态，坚持尽职尽责保护国土资源、节约集约利用国土资源、尽心尽力维护群众权益，加快贵州能源和资源深加工基地建设，构建矿产资源勘查开发新格局和新业态，为贵州</w:t>
      </w:r>
      <w:r>
        <w:t xml:space="preserve">2020 </w:t>
      </w:r>
      <w:r>
        <w:rPr>
          <w:rFonts w:hint="eastAsia"/>
        </w:rPr>
        <w:t>年与全国同步全面建成小康社会提供可靠的矿产资源保障。紧密结合贵安新区直管区矿产资源禀赋特点，强化绿色矿山建设，促进资源优势转变为经济优势，造福于民。</w:t>
      </w:r>
    </w:p>
    <w:p w14:paraId="38EC596C">
      <w:pPr>
        <w:ind w:firstLine="482"/>
        <w:rPr>
          <w:b/>
        </w:rPr>
      </w:pPr>
      <w:r>
        <w:rPr>
          <w:rFonts w:hint="eastAsia"/>
          <w:b/>
        </w:rPr>
        <w:t>二、基本原则</w:t>
      </w:r>
    </w:p>
    <w:p w14:paraId="69F03935">
      <w:pPr>
        <w:ind w:firstLine="480"/>
      </w:pPr>
      <w:r>
        <w:rPr>
          <w:rFonts w:hint="eastAsia"/>
        </w:rPr>
        <w:t>（</w:t>
      </w:r>
      <w:r>
        <w:t>1</w:t>
      </w:r>
      <w:r>
        <w:rPr>
          <w:rFonts w:hint="eastAsia"/>
        </w:rPr>
        <w:t>）规划的编制既要以《贵州省矿产资源总体规划》为依据，又要符合贵安新区直管区的具体情况和矿产资源实际情况，保障贵安新区直管区国民经济和社会发展的需要，遵循客观规律，具备科学性和可操作性。</w:t>
      </w:r>
    </w:p>
    <w:p w14:paraId="639D8107">
      <w:pPr>
        <w:ind w:firstLine="480"/>
      </w:pPr>
      <w:r>
        <w:rPr>
          <w:rFonts w:hint="eastAsia"/>
        </w:rPr>
        <w:t>（</w:t>
      </w:r>
      <w:r>
        <w:t>2</w:t>
      </w:r>
      <w:r>
        <w:rPr>
          <w:rFonts w:hint="eastAsia"/>
        </w:rPr>
        <w:t>）坚持资源开发利用与经济发展协调。紧密结合贵安新区直管区经济社会发展的需要和本地区矿产资源产出分布特点与勘查开发实际的需要。</w:t>
      </w:r>
    </w:p>
    <w:p w14:paraId="663C2AE5">
      <w:pPr>
        <w:ind w:firstLine="480"/>
      </w:pPr>
      <w:r>
        <w:rPr>
          <w:rFonts w:hint="eastAsia"/>
        </w:rPr>
        <w:t>（</w:t>
      </w:r>
      <w:r>
        <w:t>3</w:t>
      </w:r>
      <w:r>
        <w:rPr>
          <w:rFonts w:hint="eastAsia"/>
        </w:rPr>
        <w:t>）坚持市场配置与政府宏观调控结合。发挥市场配置资源的决定性作用，优化资源配置，充分发挥资源优势；加强政府的宏观调控和社会服务功能，创造良好发展环境、提供优质公共服务。</w:t>
      </w:r>
    </w:p>
    <w:p w14:paraId="2AFC6F19">
      <w:pPr>
        <w:ind w:firstLine="480"/>
      </w:pPr>
      <w:r>
        <w:rPr>
          <w:rFonts w:hint="eastAsia"/>
        </w:rPr>
        <w:t>（</w:t>
      </w:r>
      <w:r>
        <w:t>4</w:t>
      </w:r>
      <w:r>
        <w:rPr>
          <w:rFonts w:hint="eastAsia"/>
        </w:rPr>
        <w:t>）坚持环境优先，发展绿色矿业。统筹资源开发的经济效益和环境效益，强化矿区生态环境保护，严禁在生态保护红线区勘查开发矿产资源，坚持绿水青山就是金山银山，牢牢守住山青、天蓝、水清、地洁四条生态底线。大力发展绿色矿业，建设绿色矿业发展示范区。</w:t>
      </w:r>
    </w:p>
    <w:p w14:paraId="1A4D2196">
      <w:pPr>
        <w:ind w:firstLine="480"/>
      </w:pPr>
      <w:r>
        <w:rPr>
          <w:rFonts w:hint="eastAsia"/>
        </w:rPr>
        <w:t>（</w:t>
      </w:r>
      <w:r>
        <w:t>5</w:t>
      </w:r>
      <w:r>
        <w:rPr>
          <w:rFonts w:hint="eastAsia"/>
        </w:rPr>
        <w:t>）坚持矿业发展与大数据结合。充分利用大数据，打造以“一张图”为核心的综合监管平台；整合已有的地质勘查及矿产开发等资源，向社会提供优质服务，建设“智慧贵州矿业”。</w:t>
      </w:r>
    </w:p>
    <w:p w14:paraId="2FAE5837">
      <w:pPr>
        <w:ind w:firstLine="480"/>
      </w:pPr>
      <w:r>
        <w:rPr>
          <w:rFonts w:hint="eastAsia"/>
        </w:rPr>
        <w:t>（</w:t>
      </w:r>
      <w:r>
        <w:t>6</w:t>
      </w:r>
      <w:r>
        <w:rPr>
          <w:rFonts w:hint="eastAsia"/>
        </w:rPr>
        <w:t>）坚持资源有效保护与合理利用统一。合理确定重要矿产资源开采总量；根据贵安新区规划、资源环境承载力、矿产资源禀赋和产业布局，合理确定勘查、保护和开发利用布局；优化开发利用结构，严格勘查、开采准入条件，促进矿产资源节约与高效利用。</w:t>
      </w:r>
    </w:p>
    <w:p w14:paraId="055C3094">
      <w:pPr>
        <w:pStyle w:val="3"/>
        <w:spacing w:before="156" w:after="156"/>
      </w:pPr>
      <w:bookmarkStart w:id="9" w:name="_Toc508698459"/>
      <w:r>
        <w:rPr>
          <w:rFonts w:hint="eastAsia"/>
        </w:rPr>
        <w:t>第二节</w:t>
      </w:r>
      <w:r>
        <w:t xml:space="preserve">  </w:t>
      </w:r>
      <w:r>
        <w:rPr>
          <w:rFonts w:hint="eastAsia"/>
        </w:rPr>
        <w:t>规划目标</w:t>
      </w:r>
      <w:bookmarkEnd w:id="9"/>
    </w:p>
    <w:p w14:paraId="3D1BD7B9">
      <w:pPr>
        <w:ind w:firstLine="482"/>
        <w:rPr>
          <w:b/>
        </w:rPr>
      </w:pPr>
      <w:r>
        <w:rPr>
          <w:rFonts w:hint="eastAsia"/>
          <w:b/>
        </w:rPr>
        <w:t>一、</w:t>
      </w:r>
      <w:r>
        <w:rPr>
          <w:b/>
        </w:rPr>
        <w:t>2020</w:t>
      </w:r>
      <w:r>
        <w:rPr>
          <w:rFonts w:hint="eastAsia"/>
          <w:b/>
        </w:rPr>
        <w:t>年总体目标</w:t>
      </w:r>
    </w:p>
    <w:p w14:paraId="1AEEE02C">
      <w:pPr>
        <w:ind w:firstLine="480"/>
      </w:pPr>
      <w:r>
        <w:rPr>
          <w:rFonts w:hint="eastAsia"/>
        </w:rPr>
        <w:t>根据《贵州省矿产资源总体规划》（</w:t>
      </w:r>
      <w:r>
        <w:t>2016—2020</w:t>
      </w:r>
      <w:r>
        <w:rPr>
          <w:rFonts w:hint="eastAsia"/>
        </w:rPr>
        <w:t>年），将贵安新区浅层地温能资源调查评价作为重点调查评价区；重点完成贵安新区中心城市综合地质调查，查明城市发展的基础地质条件和主要地质问题。</w:t>
      </w:r>
    </w:p>
    <w:p w14:paraId="768B97A9">
      <w:pPr>
        <w:ind w:firstLine="480"/>
      </w:pPr>
      <w:r>
        <w:rPr>
          <w:rFonts w:hint="eastAsia"/>
        </w:rPr>
        <w:t>切实加强主要矿产资源勘查，实现资源储量的有效增长，提高资源的可供性；充分利用“黔中经济区”的发展机遇，以市场为向导，经济效益为中心，发挥优势矿产的潜力，为建设贵安新区为西部重要的经济增长型、内陆开放型经济新高地和生态文明示范区提供保障。有序勘查开发矿产资源，实现矿产资源可持续利用。加强地质矿产综合调查，实现地质找矿重大突破，提高重要矿产资源保障程度；构筑结构优化、布局合理的矿业经济体系，实现矿产资源的有序开发、集约利用、有效保护，使资源优势转变为发展优势；进一步加快绿色矿山建设，积极创建绿色矿业发展示范区，绿色矿业格局基本形成；矿山地质环境改善成效显著，形成矿业开发与矿山环境保护协调发展的局面。</w:t>
      </w:r>
    </w:p>
    <w:p w14:paraId="1201F5C3">
      <w:pPr>
        <w:ind w:firstLine="482"/>
        <w:rPr>
          <w:b/>
        </w:rPr>
      </w:pPr>
      <w:r>
        <w:rPr>
          <w:rFonts w:hint="eastAsia"/>
          <w:b/>
        </w:rPr>
        <w:t>（一）基础地质调查与矿产、资源勘查</w:t>
      </w:r>
    </w:p>
    <w:p w14:paraId="51B4CF48">
      <w:pPr>
        <w:ind w:firstLine="480"/>
      </w:pPr>
      <w:r>
        <w:rPr>
          <w:rFonts w:hint="eastAsia"/>
        </w:rPr>
        <w:t>贯彻执行公益性基础地质工作与商业性勘查分开运行的新机制，多元化、多渠道筹集资金，加强调查评价与勘查工作的力度；积极引导、鼓励商业性矿产勘查，使重要矿产的储采比有较显著的改善；有针对性地开展既具有成矿地质条件，又具有良好找矿前景矿产的调查，形成新的后备资源基地。</w:t>
      </w:r>
    </w:p>
    <w:p w14:paraId="55699804">
      <w:pPr>
        <w:ind w:firstLine="480"/>
      </w:pPr>
      <w:r>
        <w:t>1</w:t>
      </w:r>
      <w:r>
        <w:rPr>
          <w:rFonts w:hint="eastAsia"/>
        </w:rPr>
        <w:t>、公益性勘查</w:t>
      </w:r>
    </w:p>
    <w:p w14:paraId="29916171">
      <w:pPr>
        <w:ind w:firstLine="480"/>
      </w:pPr>
      <w:r>
        <w:rPr>
          <w:rFonts w:hint="eastAsia"/>
        </w:rPr>
        <w:t>（</w:t>
      </w:r>
      <w:r>
        <w:t>1</w:t>
      </w:r>
      <w:r>
        <w:rPr>
          <w:rFonts w:hint="eastAsia"/>
        </w:rPr>
        <w:t>）土地质量地球化学调查</w:t>
      </w:r>
    </w:p>
    <w:p w14:paraId="5CD12C21">
      <w:pPr>
        <w:ind w:firstLine="480"/>
      </w:pPr>
      <w:r>
        <w:rPr>
          <w:rFonts w:hint="eastAsia"/>
        </w:rPr>
        <w:t>贵安新区直管区内开展</w:t>
      </w:r>
      <w:r>
        <w:t>1:5</w:t>
      </w:r>
      <w:r>
        <w:rPr>
          <w:rFonts w:hint="eastAsia"/>
        </w:rPr>
        <w:t>万土地质量地球化学调查，掌握贵安新区直管区内土地质量地球化学状况，为发展现代特色高效农业、土壤污染防治，建设绿色有机农产品供应基地提供基础支撑（专栏</w:t>
      </w:r>
      <w:r>
        <w:t>1</w:t>
      </w:r>
      <w:r>
        <w:rPr>
          <w:rFonts w:hint="eastAsia"/>
        </w:rPr>
        <w:t>）。</w:t>
      </w:r>
    </w:p>
    <w:p w14:paraId="1ECA3D90">
      <w:pPr>
        <w:ind w:firstLine="480"/>
      </w:pPr>
      <w:r>
        <w:rPr>
          <w:rFonts w:hint="eastAsia"/>
        </w:rPr>
        <w:t>（</w:t>
      </w:r>
      <w:r>
        <w:t>2</w:t>
      </w:r>
      <w:r>
        <w:rPr>
          <w:rFonts w:hint="eastAsia"/>
        </w:rPr>
        <w:t>）浅层地温能资源调查评价</w:t>
      </w:r>
    </w:p>
    <w:p w14:paraId="3F4FAED4">
      <w:pPr>
        <w:ind w:firstLine="480"/>
      </w:pPr>
      <w:r>
        <w:rPr>
          <w:rFonts w:hint="eastAsia"/>
        </w:rPr>
        <w:t>贵安新区直管区内浅层地热资源的利用，将资源潜力较大且工作程度较低的有利成矿地段进行调查重点评价，加强区内浅层地热资源调查评价工作。争取三年内完成贵安新区直管区内浅层地温能资源调查评价工作，为贵安新区直管区的建设提供基础支撑（专栏</w:t>
      </w:r>
      <w:r>
        <w:t>1</w:t>
      </w:r>
      <w:r>
        <w:rPr>
          <w:rFonts w:hint="eastAsia"/>
        </w:rPr>
        <w:t>）。</w:t>
      </w:r>
    </w:p>
    <w:p w14:paraId="2381297F">
      <w:pPr>
        <w:ind w:firstLine="480"/>
      </w:pPr>
      <w:r>
        <w:rPr>
          <w:rFonts w:hint="eastAsia"/>
        </w:rPr>
        <w:t>（</w:t>
      </w:r>
      <w:r>
        <w:t>3</w:t>
      </w:r>
      <w:r>
        <w:rPr>
          <w:rFonts w:hint="eastAsia"/>
        </w:rPr>
        <w:t>）贵安新区区域中心城市综合地质调查</w:t>
      </w:r>
    </w:p>
    <w:p w14:paraId="139EC93A">
      <w:pPr>
        <w:ind w:firstLine="480"/>
      </w:pPr>
      <w:r>
        <w:rPr>
          <w:rFonts w:hint="eastAsia"/>
        </w:rPr>
        <w:t>加强地质环境调查，建立地质环境基础调查数据库，开展地质环境保护与治理分区评价，为优化国土空间格局、实施新型城镇化战略和生态文明建设提供基础支撑。完成贵安新区直管区区域中心城市综合地质调查，查明城市发展的基础地质条件和主要地质问题，为支撑服务长江经济带、黔中经济区、贵安新区发展提供地质依据（专栏</w:t>
      </w:r>
      <w:r>
        <w:t>1</w:t>
      </w:r>
      <w:r>
        <w:rPr>
          <w:rFonts w:hint="eastAsia"/>
        </w:rPr>
        <w:t>）。</w:t>
      </w:r>
    </w:p>
    <w:p w14:paraId="44A5B210">
      <w:pPr>
        <w:ind w:firstLine="480"/>
      </w:pPr>
      <w:r>
        <w:rPr>
          <w:rFonts w:hint="eastAsia"/>
        </w:rPr>
        <w:t>（</w:t>
      </w:r>
      <w:r>
        <w:t>4</w:t>
      </w:r>
      <w:r>
        <w:rPr>
          <w:rFonts w:hint="eastAsia"/>
        </w:rPr>
        <w:t>）山地旅游资源大普查</w:t>
      </w:r>
    </w:p>
    <w:p w14:paraId="598700AC">
      <w:pPr>
        <w:ind w:firstLine="480"/>
      </w:pPr>
      <w:r>
        <w:rPr>
          <w:rFonts w:hint="eastAsia"/>
        </w:rPr>
        <w:t>为推进贵州公园省的建设，贵安新区直管区旅游业的发展。开展贵安新区直管区旅游资源外业实地普查工作，建立旅游资源大普查数据库</w:t>
      </w:r>
      <w:r>
        <w:t>(</w:t>
      </w:r>
      <w:r>
        <w:rPr>
          <w:rFonts w:hint="eastAsia"/>
        </w:rPr>
        <w:t>专栏</w:t>
      </w:r>
      <w:r>
        <w:t>1)</w:t>
      </w:r>
      <w:r>
        <w:rPr>
          <w:rFonts w:hint="eastAsia"/>
        </w:rPr>
        <w:t>。</w:t>
      </w:r>
    </w:p>
    <w:p w14:paraId="413AA1E9">
      <w:pPr>
        <w:ind w:firstLine="480"/>
      </w:pPr>
      <w:r>
        <w:t>2</w:t>
      </w:r>
      <w:r>
        <w:rPr>
          <w:rFonts w:hint="eastAsia"/>
        </w:rPr>
        <w:t>、商业性勘查</w:t>
      </w:r>
    </w:p>
    <w:p w14:paraId="06A7B975">
      <w:pPr>
        <w:ind w:firstLine="480"/>
      </w:pPr>
      <w:r>
        <w:rPr>
          <w:rFonts w:hint="eastAsia"/>
        </w:rPr>
        <w:t>商业性勘查重点是提高对高峰镇、马场镇的地热水资源、马场镇的建筑用砂勘查（专栏</w:t>
      </w:r>
      <w:r>
        <w:t>2</w:t>
      </w:r>
      <w:r>
        <w:rPr>
          <w:rFonts w:hint="eastAsia"/>
        </w:rPr>
        <w:t>）。</w:t>
      </w:r>
    </w:p>
    <w:p w14:paraId="1206FD00">
      <w:pPr>
        <w:ind w:firstLine="480"/>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9"/>
        <w:gridCol w:w="2693"/>
        <w:gridCol w:w="1610"/>
      </w:tblGrid>
      <w:tr w14:paraId="70AAD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vAlign w:val="center"/>
          </w:tcPr>
          <w:p w14:paraId="201F47AE">
            <w:pPr>
              <w:ind w:firstLine="480"/>
              <w:jc w:val="center"/>
            </w:pPr>
            <w:r>
              <w:rPr>
                <w:rFonts w:hint="eastAsia"/>
              </w:rPr>
              <w:t>专栏</w:t>
            </w:r>
            <w:r>
              <w:t xml:space="preserve">1 </w:t>
            </w:r>
            <w:r>
              <w:rPr>
                <w:rFonts w:hint="eastAsia"/>
              </w:rPr>
              <w:t>基础性公益性地质调查主要指标</w:t>
            </w:r>
          </w:p>
        </w:tc>
      </w:tr>
      <w:tr w14:paraId="77553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vAlign w:val="center"/>
          </w:tcPr>
          <w:p w14:paraId="184E2CBA">
            <w:pPr>
              <w:ind w:firstLine="0" w:firstLineChars="0"/>
              <w:jc w:val="center"/>
            </w:pPr>
            <w:r>
              <w:rPr>
                <w:rFonts w:hint="eastAsia"/>
              </w:rPr>
              <w:t>项目名称</w:t>
            </w:r>
          </w:p>
        </w:tc>
        <w:tc>
          <w:tcPr>
            <w:tcW w:w="2693" w:type="dxa"/>
            <w:vAlign w:val="center"/>
          </w:tcPr>
          <w:p w14:paraId="65C38FDB">
            <w:pPr>
              <w:ind w:firstLine="0" w:firstLineChars="0"/>
              <w:jc w:val="center"/>
            </w:pPr>
            <w:r>
              <w:rPr>
                <w:rFonts w:hint="eastAsia"/>
              </w:rPr>
              <w:t>面积（</w:t>
            </w:r>
            <w:r>
              <w:t>km</w:t>
            </w:r>
            <w:r>
              <w:rPr>
                <w:vertAlign w:val="superscript"/>
              </w:rPr>
              <w:t>2</w:t>
            </w:r>
            <w:r>
              <w:rPr>
                <w:rFonts w:hint="eastAsia"/>
              </w:rPr>
              <w:t>）</w:t>
            </w:r>
          </w:p>
        </w:tc>
        <w:tc>
          <w:tcPr>
            <w:tcW w:w="1610" w:type="dxa"/>
            <w:vAlign w:val="center"/>
          </w:tcPr>
          <w:p w14:paraId="0E179C5F">
            <w:pPr>
              <w:ind w:firstLine="0" w:firstLineChars="0"/>
              <w:jc w:val="center"/>
            </w:pPr>
            <w:r>
              <w:rPr>
                <w:rFonts w:hint="eastAsia"/>
              </w:rPr>
              <w:t>指标属性</w:t>
            </w:r>
          </w:p>
        </w:tc>
      </w:tr>
      <w:tr w14:paraId="01185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vAlign w:val="center"/>
          </w:tcPr>
          <w:p w14:paraId="0FE368BF">
            <w:pPr>
              <w:ind w:firstLine="0" w:firstLineChars="0"/>
              <w:jc w:val="center"/>
            </w:pPr>
            <w:r>
              <w:t>1:5</w:t>
            </w:r>
            <w:r>
              <w:rPr>
                <w:rFonts w:hint="eastAsia"/>
              </w:rPr>
              <w:t>万土地质量地球化学调查</w:t>
            </w:r>
          </w:p>
        </w:tc>
        <w:tc>
          <w:tcPr>
            <w:tcW w:w="2693" w:type="dxa"/>
            <w:vAlign w:val="center"/>
          </w:tcPr>
          <w:p w14:paraId="30E9CD9D">
            <w:pPr>
              <w:ind w:firstLine="0" w:firstLineChars="0"/>
              <w:jc w:val="center"/>
            </w:pPr>
            <w:r>
              <w:t>460</w:t>
            </w:r>
          </w:p>
        </w:tc>
        <w:tc>
          <w:tcPr>
            <w:tcW w:w="1610" w:type="dxa"/>
            <w:vAlign w:val="center"/>
          </w:tcPr>
          <w:p w14:paraId="5B2E3CDB">
            <w:pPr>
              <w:ind w:firstLine="0" w:firstLineChars="0"/>
              <w:jc w:val="center"/>
            </w:pPr>
            <w:r>
              <w:rPr>
                <w:rFonts w:hint="eastAsia"/>
              </w:rPr>
              <w:t>预期性</w:t>
            </w:r>
          </w:p>
        </w:tc>
      </w:tr>
      <w:tr w14:paraId="2E931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219" w:type="dxa"/>
            <w:vAlign w:val="center"/>
          </w:tcPr>
          <w:p w14:paraId="39C92777">
            <w:pPr>
              <w:ind w:firstLine="0" w:firstLineChars="0"/>
              <w:jc w:val="center"/>
            </w:pPr>
            <w:r>
              <w:rPr>
                <w:rFonts w:hint="eastAsia"/>
              </w:rPr>
              <w:t>浅层地温能资源重点调查评价</w:t>
            </w:r>
          </w:p>
        </w:tc>
        <w:tc>
          <w:tcPr>
            <w:tcW w:w="2693" w:type="dxa"/>
            <w:vAlign w:val="center"/>
          </w:tcPr>
          <w:p w14:paraId="19F0774E">
            <w:pPr>
              <w:ind w:firstLine="0" w:firstLineChars="0"/>
              <w:jc w:val="center"/>
            </w:pPr>
            <w:r>
              <w:t>460</w:t>
            </w:r>
          </w:p>
        </w:tc>
        <w:tc>
          <w:tcPr>
            <w:tcW w:w="1610" w:type="dxa"/>
            <w:vAlign w:val="center"/>
          </w:tcPr>
          <w:p w14:paraId="2EEF94CA">
            <w:pPr>
              <w:ind w:firstLine="0" w:firstLineChars="0"/>
              <w:jc w:val="center"/>
            </w:pPr>
            <w:r>
              <w:rPr>
                <w:rFonts w:hint="eastAsia"/>
              </w:rPr>
              <w:t>约束性</w:t>
            </w:r>
          </w:p>
        </w:tc>
      </w:tr>
      <w:tr w14:paraId="18E99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219" w:type="dxa"/>
            <w:vAlign w:val="center"/>
          </w:tcPr>
          <w:p w14:paraId="7AF6B645">
            <w:pPr>
              <w:ind w:firstLine="0" w:firstLineChars="0"/>
              <w:jc w:val="center"/>
            </w:pPr>
            <w:r>
              <w:rPr>
                <w:rFonts w:hint="eastAsia"/>
              </w:rPr>
              <w:t>贵安新区区域中心城市综合地质调查</w:t>
            </w:r>
          </w:p>
        </w:tc>
        <w:tc>
          <w:tcPr>
            <w:tcW w:w="2693" w:type="dxa"/>
            <w:vAlign w:val="center"/>
          </w:tcPr>
          <w:p w14:paraId="5F77406D">
            <w:pPr>
              <w:ind w:firstLine="0" w:firstLineChars="0"/>
              <w:jc w:val="center"/>
            </w:pPr>
            <w:r>
              <w:t>460</w:t>
            </w:r>
          </w:p>
        </w:tc>
        <w:tc>
          <w:tcPr>
            <w:tcW w:w="1610" w:type="dxa"/>
            <w:vAlign w:val="center"/>
          </w:tcPr>
          <w:p w14:paraId="39FEA4AD">
            <w:pPr>
              <w:ind w:firstLine="0" w:firstLineChars="0"/>
              <w:jc w:val="center"/>
            </w:pPr>
            <w:r>
              <w:rPr>
                <w:rFonts w:hint="eastAsia"/>
              </w:rPr>
              <w:t>预期性</w:t>
            </w:r>
          </w:p>
        </w:tc>
      </w:tr>
      <w:tr w14:paraId="49D53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219" w:type="dxa"/>
            <w:vAlign w:val="center"/>
          </w:tcPr>
          <w:p w14:paraId="55B1BBE9">
            <w:pPr>
              <w:ind w:firstLine="480"/>
            </w:pPr>
            <w:r>
              <w:rPr>
                <w:rFonts w:hint="eastAsia"/>
              </w:rPr>
              <w:t>山地旅游资源大普查</w:t>
            </w:r>
          </w:p>
        </w:tc>
        <w:tc>
          <w:tcPr>
            <w:tcW w:w="2693" w:type="dxa"/>
            <w:vAlign w:val="center"/>
          </w:tcPr>
          <w:p w14:paraId="7494EDE1">
            <w:pPr>
              <w:ind w:firstLine="0" w:firstLineChars="0"/>
              <w:jc w:val="center"/>
            </w:pPr>
            <w:r>
              <w:t>460</w:t>
            </w:r>
          </w:p>
        </w:tc>
        <w:tc>
          <w:tcPr>
            <w:tcW w:w="1610" w:type="dxa"/>
            <w:vAlign w:val="center"/>
          </w:tcPr>
          <w:p w14:paraId="43B2CBCB">
            <w:pPr>
              <w:ind w:firstLine="0" w:firstLineChars="0"/>
              <w:jc w:val="center"/>
            </w:pPr>
            <w:r>
              <w:rPr>
                <w:rFonts w:hint="eastAsia"/>
              </w:rPr>
              <w:t>约束性</w:t>
            </w:r>
          </w:p>
        </w:tc>
      </w:tr>
    </w:tbl>
    <w:p w14:paraId="4D8D85B1">
      <w:pPr>
        <w:ind w:firstLine="0" w:firstLineChars="0"/>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559"/>
        <w:gridCol w:w="2126"/>
        <w:gridCol w:w="2184"/>
        <w:gridCol w:w="1694"/>
      </w:tblGrid>
      <w:tr w14:paraId="72EDA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7ACCDA37">
            <w:pPr>
              <w:ind w:firstLine="0" w:firstLineChars="0"/>
              <w:jc w:val="center"/>
            </w:pPr>
            <w:r>
              <w:rPr>
                <w:rFonts w:hint="eastAsia"/>
              </w:rPr>
              <w:t>专栏</w:t>
            </w:r>
            <w:r>
              <w:t xml:space="preserve">2 </w:t>
            </w:r>
            <w:r>
              <w:rPr>
                <w:rFonts w:hint="eastAsia"/>
              </w:rPr>
              <w:t>矿产资源勘查主要指标</w:t>
            </w:r>
          </w:p>
        </w:tc>
      </w:tr>
      <w:tr w14:paraId="16E05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B69225E">
            <w:pPr>
              <w:ind w:firstLine="0" w:firstLineChars="0"/>
              <w:jc w:val="center"/>
            </w:pPr>
            <w:r>
              <w:rPr>
                <w:rFonts w:hint="eastAsia"/>
              </w:rPr>
              <w:t>序号</w:t>
            </w:r>
          </w:p>
        </w:tc>
        <w:tc>
          <w:tcPr>
            <w:tcW w:w="1559" w:type="dxa"/>
            <w:vAlign w:val="center"/>
          </w:tcPr>
          <w:p w14:paraId="03E15384">
            <w:pPr>
              <w:ind w:firstLine="0" w:firstLineChars="0"/>
              <w:jc w:val="center"/>
            </w:pPr>
            <w:r>
              <w:rPr>
                <w:rFonts w:hint="eastAsia"/>
              </w:rPr>
              <w:t>矿种</w:t>
            </w:r>
          </w:p>
        </w:tc>
        <w:tc>
          <w:tcPr>
            <w:tcW w:w="2126" w:type="dxa"/>
            <w:vAlign w:val="center"/>
          </w:tcPr>
          <w:p w14:paraId="7F6BA365">
            <w:pPr>
              <w:ind w:firstLine="0" w:firstLineChars="0"/>
              <w:jc w:val="center"/>
            </w:pPr>
            <w:r>
              <w:rPr>
                <w:rFonts w:hint="eastAsia"/>
              </w:rPr>
              <w:t>新增资源量</w:t>
            </w:r>
          </w:p>
        </w:tc>
        <w:tc>
          <w:tcPr>
            <w:tcW w:w="2184" w:type="dxa"/>
            <w:vAlign w:val="center"/>
          </w:tcPr>
          <w:p w14:paraId="4EA976B5">
            <w:pPr>
              <w:ind w:firstLine="0" w:firstLineChars="0"/>
              <w:jc w:val="center"/>
            </w:pPr>
            <w:r>
              <w:rPr>
                <w:rFonts w:hint="eastAsia"/>
              </w:rPr>
              <w:t>资源储量单位</w:t>
            </w:r>
          </w:p>
        </w:tc>
        <w:tc>
          <w:tcPr>
            <w:tcW w:w="1694" w:type="dxa"/>
            <w:vAlign w:val="center"/>
          </w:tcPr>
          <w:p w14:paraId="586EDDE6">
            <w:pPr>
              <w:ind w:firstLine="0" w:firstLineChars="0"/>
              <w:jc w:val="center"/>
            </w:pPr>
            <w:r>
              <w:rPr>
                <w:rFonts w:hint="eastAsia"/>
              </w:rPr>
              <w:t>指标属性</w:t>
            </w:r>
          </w:p>
        </w:tc>
      </w:tr>
      <w:tr w14:paraId="125FB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5585BC7">
            <w:pPr>
              <w:ind w:firstLine="0" w:firstLineChars="0"/>
              <w:jc w:val="center"/>
            </w:pPr>
            <w:r>
              <w:t>1</w:t>
            </w:r>
          </w:p>
        </w:tc>
        <w:tc>
          <w:tcPr>
            <w:tcW w:w="1559" w:type="dxa"/>
            <w:vAlign w:val="center"/>
          </w:tcPr>
          <w:p w14:paraId="4F5F9191">
            <w:pPr>
              <w:ind w:firstLine="0" w:firstLineChars="0"/>
              <w:jc w:val="center"/>
            </w:pPr>
            <w:r>
              <w:rPr>
                <w:rFonts w:hint="eastAsia"/>
              </w:rPr>
              <w:t>地热水资源</w:t>
            </w:r>
          </w:p>
        </w:tc>
        <w:tc>
          <w:tcPr>
            <w:tcW w:w="2126" w:type="dxa"/>
            <w:vAlign w:val="center"/>
          </w:tcPr>
          <w:p w14:paraId="42ACFD51">
            <w:pPr>
              <w:ind w:firstLine="0" w:firstLineChars="0"/>
              <w:jc w:val="center"/>
            </w:pPr>
            <w:r>
              <w:t>400</w:t>
            </w:r>
          </w:p>
        </w:tc>
        <w:tc>
          <w:tcPr>
            <w:tcW w:w="2184" w:type="dxa"/>
            <w:vAlign w:val="center"/>
          </w:tcPr>
          <w:p w14:paraId="6299A290">
            <w:pPr>
              <w:ind w:firstLine="0" w:firstLineChars="0"/>
              <w:jc w:val="center"/>
            </w:pPr>
            <w:r>
              <w:rPr>
                <w:rFonts w:hint="eastAsia"/>
              </w:rPr>
              <w:t>万吨</w:t>
            </w:r>
          </w:p>
        </w:tc>
        <w:tc>
          <w:tcPr>
            <w:tcW w:w="1694" w:type="dxa"/>
            <w:vAlign w:val="center"/>
          </w:tcPr>
          <w:p w14:paraId="646B55EF">
            <w:pPr>
              <w:ind w:firstLine="0" w:firstLineChars="0"/>
              <w:jc w:val="center"/>
            </w:pPr>
            <w:r>
              <w:rPr>
                <w:rFonts w:hint="eastAsia"/>
              </w:rPr>
              <w:t>预期性</w:t>
            </w:r>
          </w:p>
        </w:tc>
      </w:tr>
      <w:tr w14:paraId="28FF0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2619044">
            <w:pPr>
              <w:ind w:firstLine="0" w:firstLineChars="0"/>
              <w:jc w:val="center"/>
            </w:pPr>
            <w:r>
              <w:t>2</w:t>
            </w:r>
          </w:p>
        </w:tc>
        <w:tc>
          <w:tcPr>
            <w:tcW w:w="1559" w:type="dxa"/>
            <w:vAlign w:val="center"/>
          </w:tcPr>
          <w:p w14:paraId="2A7B8E58">
            <w:pPr>
              <w:ind w:firstLine="0" w:firstLineChars="0"/>
              <w:jc w:val="center"/>
            </w:pPr>
            <w:r>
              <w:rPr>
                <w:rFonts w:hint="eastAsia"/>
              </w:rPr>
              <w:t>建筑用砂</w:t>
            </w:r>
          </w:p>
        </w:tc>
        <w:tc>
          <w:tcPr>
            <w:tcW w:w="2126" w:type="dxa"/>
            <w:vAlign w:val="center"/>
          </w:tcPr>
          <w:p w14:paraId="69359C41">
            <w:pPr>
              <w:ind w:firstLine="0" w:firstLineChars="0"/>
              <w:jc w:val="center"/>
            </w:pPr>
            <w:r>
              <w:t>106</w:t>
            </w:r>
          </w:p>
        </w:tc>
        <w:tc>
          <w:tcPr>
            <w:tcW w:w="2184" w:type="dxa"/>
            <w:vAlign w:val="center"/>
          </w:tcPr>
          <w:p w14:paraId="55C5937F">
            <w:pPr>
              <w:ind w:firstLine="0" w:firstLineChars="0"/>
              <w:jc w:val="center"/>
            </w:pPr>
            <w:r>
              <w:rPr>
                <w:rFonts w:hint="eastAsia"/>
              </w:rPr>
              <w:t>万立方米</w:t>
            </w:r>
            <w:r>
              <w:t>/</w:t>
            </w:r>
            <w:r>
              <w:rPr>
                <w:rFonts w:hint="eastAsia"/>
              </w:rPr>
              <w:t>年</w:t>
            </w:r>
          </w:p>
        </w:tc>
        <w:tc>
          <w:tcPr>
            <w:tcW w:w="1694" w:type="dxa"/>
            <w:vAlign w:val="center"/>
          </w:tcPr>
          <w:p w14:paraId="0CFA32F8">
            <w:pPr>
              <w:ind w:firstLine="0" w:firstLineChars="0"/>
              <w:jc w:val="center"/>
            </w:pPr>
            <w:r>
              <w:rPr>
                <w:rFonts w:hint="eastAsia"/>
              </w:rPr>
              <w:t>预期性</w:t>
            </w:r>
          </w:p>
        </w:tc>
      </w:tr>
    </w:tbl>
    <w:p w14:paraId="29FA5419">
      <w:pPr>
        <w:ind w:firstLine="0" w:firstLineChars="0"/>
      </w:pPr>
    </w:p>
    <w:p w14:paraId="722ADD57">
      <w:pPr>
        <w:ind w:firstLine="482"/>
        <w:rPr>
          <w:b/>
        </w:rPr>
      </w:pPr>
      <w:r>
        <w:rPr>
          <w:b/>
        </w:rPr>
        <w:t>3</w:t>
      </w:r>
      <w:r>
        <w:rPr>
          <w:rFonts w:hint="eastAsia"/>
          <w:b/>
        </w:rPr>
        <w:t>、矿产资源开发利用与保护</w:t>
      </w:r>
    </w:p>
    <w:p w14:paraId="691841BB">
      <w:pPr>
        <w:ind w:firstLine="482"/>
        <w:rPr>
          <w:rFonts w:ascii="宋体"/>
        </w:rPr>
      </w:pPr>
      <w:r>
        <w:rPr>
          <w:rFonts w:hint="eastAsia"/>
          <w:b/>
        </w:rPr>
        <w:t>（</w:t>
      </w:r>
      <w:r>
        <w:rPr>
          <w:b/>
        </w:rPr>
        <w:t>1</w:t>
      </w:r>
      <w:r>
        <w:rPr>
          <w:rFonts w:hint="eastAsia"/>
          <w:b/>
        </w:rPr>
        <w:t>）地热水资源开发利用。</w:t>
      </w:r>
      <w:r>
        <w:rPr>
          <w:rFonts w:hint="eastAsia"/>
        </w:rPr>
        <w:t>积极推进地热资源的开发速度和高效利用，</w:t>
      </w:r>
      <w:r>
        <w:rPr>
          <w:rFonts w:hint="eastAsia" w:ascii="宋体" w:hAnsi="宋体"/>
        </w:rPr>
        <w:t>建设以温泉度假和康体养生为重点，集休闲旅游、商务会议、生态人居等功能为一体的休闲旅游基地。使地热旅游资源成为新区直管区的支柱产业、特色产业。争取到</w:t>
      </w:r>
      <w:r>
        <w:rPr>
          <w:rFonts w:ascii="宋体" w:hAnsi="宋体"/>
        </w:rPr>
        <w:t>2020</w:t>
      </w:r>
      <w:r>
        <w:rPr>
          <w:rFonts w:hint="eastAsia" w:ascii="宋体" w:hAnsi="宋体"/>
        </w:rPr>
        <w:t>年，区内地热井开发利用</w:t>
      </w:r>
      <w:r>
        <w:rPr>
          <w:rFonts w:ascii="宋体" w:hAnsi="宋体"/>
        </w:rPr>
        <w:t>2</w:t>
      </w:r>
      <w:r>
        <w:rPr>
          <w:rFonts w:hint="eastAsia" w:ascii="宋体" w:hAnsi="宋体"/>
        </w:rPr>
        <w:t>处。同时制定地热资源开发利用管理办法，使贵安新区直管区地热资源勘查、开发利用有序进行；建立地热资源动态监测信息管理系统和管理体系，严格控制各地热水井资源开采量，消除无证开采、超量开采等现象，建立地热水有偿使用制度，有效保护资源；建立地热地质环境和生态环境保护的管理与监督体系，加强地热尾水排放的监管。</w:t>
      </w:r>
    </w:p>
    <w:p w14:paraId="21E09C9E">
      <w:pPr>
        <w:ind w:firstLine="482"/>
        <w:rPr>
          <w:rFonts w:ascii="宋体"/>
          <w:szCs w:val="24"/>
        </w:rPr>
      </w:pPr>
      <w:r>
        <w:rPr>
          <w:rFonts w:hint="eastAsia" w:ascii="宋体" w:hAnsi="宋体"/>
          <w:b/>
        </w:rPr>
        <w:t>（</w:t>
      </w:r>
      <w:r>
        <w:rPr>
          <w:rFonts w:ascii="宋体" w:hAnsi="宋体"/>
          <w:b/>
        </w:rPr>
        <w:t>2</w:t>
      </w:r>
      <w:r>
        <w:rPr>
          <w:rFonts w:hint="eastAsia" w:ascii="宋体" w:hAnsi="宋体"/>
          <w:b/>
        </w:rPr>
        <w:t>）砂石矿资源开发利用与保护。</w:t>
      </w:r>
      <w:r>
        <w:rPr>
          <w:rFonts w:hint="eastAsia" w:ascii="宋体" w:hAnsi="宋体"/>
        </w:rPr>
        <w:t>贵安新区直管区目前处于积极建设基础设置中，对砂石矿资源的需求量大。积极推进砂石矿的资源的开发利用，保障区内建设的需求。</w:t>
      </w:r>
      <w:r>
        <w:rPr>
          <w:rFonts w:hint="eastAsia" w:ascii="宋体" w:hAnsi="宋体"/>
          <w:szCs w:val="24"/>
        </w:rPr>
        <w:t>科学确定砂石矿资源开发利用总量，优化布局砂石矿山；控制矿山总数，提高砂石矿资源开发利用水平</w:t>
      </w:r>
      <w:r>
        <w:rPr>
          <w:rFonts w:ascii="宋体" w:hAnsi="宋体"/>
          <w:szCs w:val="24"/>
        </w:rPr>
        <w:t>;</w:t>
      </w:r>
      <w:r>
        <w:rPr>
          <w:rFonts w:hint="eastAsia" w:ascii="宋体" w:hAnsi="宋体"/>
          <w:szCs w:val="24"/>
        </w:rPr>
        <w:t>按照绿色矿业的要求，建设绿色矿山，做到资源开发与环境保护并重，促进资源开发与资源保护、生态建设、环境保护等协调发展。到</w:t>
      </w:r>
      <w:r>
        <w:rPr>
          <w:rFonts w:ascii="宋体" w:hAnsi="宋体"/>
          <w:szCs w:val="24"/>
        </w:rPr>
        <w:t>2020</w:t>
      </w:r>
      <w:r>
        <w:rPr>
          <w:rFonts w:hint="eastAsia" w:ascii="宋体" w:hAnsi="宋体"/>
          <w:szCs w:val="24"/>
        </w:rPr>
        <w:t>年，建设</w:t>
      </w:r>
      <w:r>
        <w:rPr>
          <w:rFonts w:ascii="宋体" w:hAnsi="宋体"/>
          <w:szCs w:val="24"/>
        </w:rPr>
        <w:t>2</w:t>
      </w:r>
      <w:r>
        <w:rPr>
          <w:rFonts w:hint="eastAsia" w:ascii="宋体" w:hAnsi="宋体"/>
          <w:szCs w:val="24"/>
        </w:rPr>
        <w:t>个生产规模大型、</w:t>
      </w:r>
      <w:r>
        <w:rPr>
          <w:rFonts w:ascii="宋体" w:hAnsi="宋体"/>
          <w:szCs w:val="24"/>
        </w:rPr>
        <w:t>3</w:t>
      </w:r>
      <w:r>
        <w:rPr>
          <w:rFonts w:hint="eastAsia" w:ascii="宋体" w:hAnsi="宋体"/>
          <w:szCs w:val="24"/>
        </w:rPr>
        <w:t>个生产规模中型以上的建筑用砂开采矿山，创建</w:t>
      </w:r>
      <w:r>
        <w:rPr>
          <w:rFonts w:ascii="宋体" w:hAnsi="宋体"/>
          <w:szCs w:val="24"/>
        </w:rPr>
        <w:t>1</w:t>
      </w:r>
      <w:r>
        <w:rPr>
          <w:rFonts w:hint="eastAsia" w:ascii="宋体" w:hAnsi="宋体"/>
          <w:szCs w:val="24"/>
        </w:rPr>
        <w:t>个绿色矿业发展示范区（专栏</w:t>
      </w:r>
      <w:r>
        <w:rPr>
          <w:rFonts w:ascii="宋体" w:hAnsi="宋体"/>
          <w:szCs w:val="24"/>
        </w:rPr>
        <w:t>3</w:t>
      </w:r>
      <w:r>
        <w:rPr>
          <w:rFonts w:hint="eastAsia" w:ascii="宋体" w:hAnsi="宋体"/>
          <w:szCs w:val="24"/>
        </w:rPr>
        <w:t>、专栏</w:t>
      </w:r>
      <w:r>
        <w:rPr>
          <w:rFonts w:ascii="宋体" w:hAnsi="宋体"/>
          <w:szCs w:val="24"/>
        </w:rPr>
        <w:t>4</w:t>
      </w:r>
      <w:r>
        <w:rPr>
          <w:rFonts w:hint="eastAsia" w:ascii="宋体" w:hAnsi="宋体"/>
          <w:szCs w:val="24"/>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559"/>
        <w:gridCol w:w="567"/>
        <w:gridCol w:w="1559"/>
        <w:gridCol w:w="2184"/>
        <w:gridCol w:w="84"/>
        <w:gridCol w:w="1610"/>
      </w:tblGrid>
      <w:tr w14:paraId="3E6C4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14:paraId="25BFE18A">
            <w:pPr>
              <w:ind w:firstLine="0" w:firstLineChars="0"/>
              <w:jc w:val="center"/>
              <w:rPr>
                <w:b/>
              </w:rPr>
            </w:pPr>
            <w:r>
              <w:rPr>
                <w:rFonts w:hint="eastAsia"/>
                <w:b/>
              </w:rPr>
              <w:t>专栏</w:t>
            </w:r>
            <w:r>
              <w:rPr>
                <w:b/>
              </w:rPr>
              <w:t xml:space="preserve">3  </w:t>
            </w:r>
            <w:r>
              <w:rPr>
                <w:rFonts w:hint="eastAsia"/>
                <w:b/>
              </w:rPr>
              <w:t>重要矿产资源开发指标</w:t>
            </w:r>
          </w:p>
        </w:tc>
      </w:tr>
      <w:tr w14:paraId="442BA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B996BC0">
            <w:pPr>
              <w:ind w:firstLine="0" w:firstLineChars="0"/>
              <w:jc w:val="center"/>
              <w:rPr>
                <w:b/>
              </w:rPr>
            </w:pPr>
            <w:r>
              <w:rPr>
                <w:rFonts w:hint="eastAsia"/>
                <w:b/>
              </w:rPr>
              <w:t>序号</w:t>
            </w:r>
          </w:p>
        </w:tc>
        <w:tc>
          <w:tcPr>
            <w:tcW w:w="1559" w:type="dxa"/>
            <w:vAlign w:val="center"/>
          </w:tcPr>
          <w:p w14:paraId="14D30A9D">
            <w:pPr>
              <w:ind w:firstLine="0" w:firstLineChars="0"/>
              <w:jc w:val="center"/>
              <w:rPr>
                <w:b/>
              </w:rPr>
            </w:pPr>
            <w:r>
              <w:rPr>
                <w:rFonts w:hint="eastAsia"/>
                <w:b/>
              </w:rPr>
              <w:t>矿种</w:t>
            </w:r>
          </w:p>
        </w:tc>
        <w:tc>
          <w:tcPr>
            <w:tcW w:w="2126" w:type="dxa"/>
            <w:gridSpan w:val="2"/>
            <w:vAlign w:val="center"/>
          </w:tcPr>
          <w:p w14:paraId="4E8E4C12">
            <w:pPr>
              <w:ind w:firstLine="0" w:firstLineChars="0"/>
              <w:jc w:val="center"/>
              <w:rPr>
                <w:b/>
              </w:rPr>
            </w:pPr>
            <w:r>
              <w:rPr>
                <w:b/>
              </w:rPr>
              <w:t>2020</w:t>
            </w:r>
            <w:r>
              <w:rPr>
                <w:rFonts w:hint="eastAsia"/>
                <w:b/>
              </w:rPr>
              <w:t>年</w:t>
            </w:r>
          </w:p>
        </w:tc>
        <w:tc>
          <w:tcPr>
            <w:tcW w:w="2184" w:type="dxa"/>
            <w:vAlign w:val="center"/>
          </w:tcPr>
          <w:p w14:paraId="567931D0">
            <w:pPr>
              <w:ind w:firstLine="0" w:firstLineChars="0"/>
              <w:jc w:val="center"/>
              <w:rPr>
                <w:b/>
              </w:rPr>
            </w:pPr>
            <w:r>
              <w:rPr>
                <w:rFonts w:hint="eastAsia"/>
                <w:b/>
              </w:rPr>
              <w:t>单位</w:t>
            </w:r>
          </w:p>
        </w:tc>
        <w:tc>
          <w:tcPr>
            <w:tcW w:w="1694" w:type="dxa"/>
            <w:gridSpan w:val="2"/>
            <w:vAlign w:val="center"/>
          </w:tcPr>
          <w:p w14:paraId="7FF9BF89">
            <w:pPr>
              <w:ind w:firstLine="0" w:firstLineChars="0"/>
              <w:jc w:val="center"/>
              <w:rPr>
                <w:b/>
              </w:rPr>
            </w:pPr>
            <w:r>
              <w:rPr>
                <w:rFonts w:hint="eastAsia"/>
                <w:b/>
              </w:rPr>
              <w:t>指标属性</w:t>
            </w:r>
          </w:p>
        </w:tc>
      </w:tr>
      <w:tr w14:paraId="1C20D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21B3B79">
            <w:pPr>
              <w:ind w:firstLine="0" w:firstLineChars="0"/>
              <w:jc w:val="center"/>
            </w:pPr>
            <w:r>
              <w:t>1</w:t>
            </w:r>
          </w:p>
        </w:tc>
        <w:tc>
          <w:tcPr>
            <w:tcW w:w="1559" w:type="dxa"/>
            <w:vAlign w:val="center"/>
          </w:tcPr>
          <w:p w14:paraId="58176D4A">
            <w:pPr>
              <w:ind w:firstLine="0" w:firstLineChars="0"/>
              <w:jc w:val="center"/>
            </w:pPr>
            <w:r>
              <w:rPr>
                <w:rFonts w:hint="eastAsia"/>
              </w:rPr>
              <w:t>地热水资源</w:t>
            </w:r>
          </w:p>
        </w:tc>
        <w:tc>
          <w:tcPr>
            <w:tcW w:w="2126" w:type="dxa"/>
            <w:gridSpan w:val="2"/>
            <w:vAlign w:val="center"/>
          </w:tcPr>
          <w:p w14:paraId="1EF2B17D">
            <w:pPr>
              <w:ind w:firstLine="0" w:firstLineChars="0"/>
              <w:jc w:val="center"/>
            </w:pPr>
            <w:r>
              <w:t>350</w:t>
            </w:r>
          </w:p>
        </w:tc>
        <w:tc>
          <w:tcPr>
            <w:tcW w:w="2184" w:type="dxa"/>
            <w:vAlign w:val="center"/>
          </w:tcPr>
          <w:p w14:paraId="2A875BAF">
            <w:pPr>
              <w:ind w:firstLine="0" w:firstLineChars="0"/>
              <w:jc w:val="center"/>
            </w:pPr>
            <w:r>
              <w:rPr>
                <w:rFonts w:hint="eastAsia"/>
              </w:rPr>
              <w:t>万吨</w:t>
            </w:r>
          </w:p>
        </w:tc>
        <w:tc>
          <w:tcPr>
            <w:tcW w:w="1694" w:type="dxa"/>
            <w:gridSpan w:val="2"/>
            <w:vAlign w:val="center"/>
          </w:tcPr>
          <w:p w14:paraId="3A3AB05E">
            <w:pPr>
              <w:ind w:firstLine="0" w:firstLineChars="0"/>
              <w:jc w:val="center"/>
            </w:pPr>
            <w:r>
              <w:rPr>
                <w:rFonts w:hint="eastAsia"/>
              </w:rPr>
              <w:t>预期性</w:t>
            </w:r>
          </w:p>
        </w:tc>
      </w:tr>
      <w:tr w14:paraId="22099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FCD3EA8">
            <w:pPr>
              <w:ind w:firstLine="0" w:firstLineChars="0"/>
              <w:jc w:val="center"/>
            </w:pPr>
            <w:r>
              <w:t>2</w:t>
            </w:r>
          </w:p>
        </w:tc>
        <w:tc>
          <w:tcPr>
            <w:tcW w:w="1559" w:type="dxa"/>
            <w:vAlign w:val="center"/>
          </w:tcPr>
          <w:p w14:paraId="3554DEBB">
            <w:pPr>
              <w:ind w:firstLine="0" w:firstLineChars="0"/>
              <w:jc w:val="center"/>
            </w:pPr>
            <w:r>
              <w:rPr>
                <w:rFonts w:hint="eastAsia"/>
              </w:rPr>
              <w:t>建筑用砂</w:t>
            </w:r>
          </w:p>
        </w:tc>
        <w:tc>
          <w:tcPr>
            <w:tcW w:w="2126" w:type="dxa"/>
            <w:gridSpan w:val="2"/>
            <w:vAlign w:val="center"/>
          </w:tcPr>
          <w:p w14:paraId="46387CBE">
            <w:pPr>
              <w:ind w:firstLine="0" w:firstLineChars="0"/>
              <w:jc w:val="center"/>
            </w:pPr>
            <w:r>
              <w:t>106</w:t>
            </w:r>
          </w:p>
        </w:tc>
        <w:tc>
          <w:tcPr>
            <w:tcW w:w="2184" w:type="dxa"/>
            <w:vAlign w:val="center"/>
          </w:tcPr>
          <w:p w14:paraId="2F42F8B2">
            <w:pPr>
              <w:ind w:firstLine="0" w:firstLineChars="0"/>
              <w:jc w:val="center"/>
            </w:pPr>
            <w:r>
              <w:rPr>
                <w:rFonts w:hint="eastAsia"/>
              </w:rPr>
              <w:t>万立方米</w:t>
            </w:r>
          </w:p>
        </w:tc>
        <w:tc>
          <w:tcPr>
            <w:tcW w:w="1694" w:type="dxa"/>
            <w:gridSpan w:val="2"/>
            <w:vAlign w:val="center"/>
          </w:tcPr>
          <w:p w14:paraId="0DB37E4B">
            <w:pPr>
              <w:ind w:firstLine="0" w:firstLineChars="0"/>
              <w:jc w:val="center"/>
            </w:pPr>
            <w:r>
              <w:rPr>
                <w:rFonts w:hint="eastAsia"/>
              </w:rPr>
              <w:t>预期性</w:t>
            </w:r>
          </w:p>
        </w:tc>
      </w:tr>
      <w:tr w14:paraId="24F0B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center"/>
          </w:tcPr>
          <w:p w14:paraId="2F45B712">
            <w:pPr>
              <w:ind w:firstLine="480"/>
              <w:jc w:val="center"/>
            </w:pPr>
            <w:r>
              <w:rPr>
                <w:rFonts w:hint="eastAsia"/>
              </w:rPr>
              <w:t>专栏</w:t>
            </w:r>
            <w:r>
              <w:t xml:space="preserve">4   </w:t>
            </w:r>
            <w:r>
              <w:rPr>
                <w:rFonts w:hint="eastAsia"/>
              </w:rPr>
              <w:t>绿色矿业发展指标</w:t>
            </w:r>
          </w:p>
        </w:tc>
      </w:tr>
      <w:tr w14:paraId="2563D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3"/>
            <w:vAlign w:val="center"/>
          </w:tcPr>
          <w:p w14:paraId="4FA9D2D0">
            <w:pPr>
              <w:ind w:firstLine="0" w:firstLineChars="0"/>
              <w:jc w:val="center"/>
            </w:pPr>
            <w:r>
              <w:rPr>
                <w:rFonts w:hint="eastAsia"/>
              </w:rPr>
              <w:t>指标名称</w:t>
            </w:r>
          </w:p>
        </w:tc>
        <w:tc>
          <w:tcPr>
            <w:tcW w:w="3827" w:type="dxa"/>
            <w:gridSpan w:val="3"/>
            <w:vAlign w:val="center"/>
          </w:tcPr>
          <w:p w14:paraId="243B70BA">
            <w:pPr>
              <w:ind w:firstLine="0" w:firstLineChars="0"/>
              <w:jc w:val="center"/>
            </w:pPr>
            <w:r>
              <w:t>2020</w:t>
            </w:r>
            <w:r>
              <w:rPr>
                <w:rFonts w:hint="eastAsia"/>
              </w:rPr>
              <w:t>年</w:t>
            </w:r>
          </w:p>
        </w:tc>
        <w:tc>
          <w:tcPr>
            <w:tcW w:w="1610" w:type="dxa"/>
            <w:vAlign w:val="center"/>
          </w:tcPr>
          <w:p w14:paraId="60EC544C">
            <w:pPr>
              <w:ind w:firstLine="0" w:firstLineChars="0"/>
              <w:jc w:val="center"/>
            </w:pPr>
            <w:r>
              <w:rPr>
                <w:rFonts w:hint="eastAsia"/>
              </w:rPr>
              <w:t>指标属性</w:t>
            </w:r>
          </w:p>
        </w:tc>
      </w:tr>
      <w:tr w14:paraId="7BCAE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3"/>
            <w:vMerge w:val="restart"/>
            <w:vAlign w:val="center"/>
          </w:tcPr>
          <w:p w14:paraId="5F38D8AE">
            <w:pPr>
              <w:ind w:firstLine="0" w:firstLineChars="0"/>
              <w:jc w:val="center"/>
            </w:pPr>
            <w:r>
              <w:rPr>
                <w:rFonts w:hint="eastAsia"/>
              </w:rPr>
              <w:t>矿山数量</w:t>
            </w:r>
          </w:p>
        </w:tc>
        <w:tc>
          <w:tcPr>
            <w:tcW w:w="3827" w:type="dxa"/>
            <w:gridSpan w:val="3"/>
            <w:vAlign w:val="center"/>
          </w:tcPr>
          <w:p w14:paraId="2A21ACCB">
            <w:pPr>
              <w:ind w:firstLine="0" w:firstLineChars="0"/>
              <w:jc w:val="center"/>
            </w:pPr>
            <w:r>
              <w:rPr>
                <w:rFonts w:hint="eastAsia"/>
              </w:rPr>
              <w:t>地热井</w:t>
            </w:r>
            <w:r>
              <w:t>2</w:t>
            </w:r>
            <w:r>
              <w:rPr>
                <w:rFonts w:hint="eastAsia"/>
              </w:rPr>
              <w:t>个</w:t>
            </w:r>
          </w:p>
        </w:tc>
        <w:tc>
          <w:tcPr>
            <w:tcW w:w="1610" w:type="dxa"/>
            <w:vAlign w:val="center"/>
          </w:tcPr>
          <w:p w14:paraId="49E2D845">
            <w:pPr>
              <w:ind w:firstLine="0" w:firstLineChars="0"/>
              <w:jc w:val="center"/>
            </w:pPr>
            <w:r>
              <w:rPr>
                <w:rFonts w:hint="eastAsia"/>
              </w:rPr>
              <w:t>预期性</w:t>
            </w:r>
          </w:p>
        </w:tc>
      </w:tr>
      <w:tr w14:paraId="1B27D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3"/>
            <w:vMerge w:val="continue"/>
            <w:vAlign w:val="center"/>
          </w:tcPr>
          <w:p w14:paraId="422BDCD8">
            <w:pPr>
              <w:ind w:firstLine="0" w:firstLineChars="0"/>
              <w:jc w:val="center"/>
            </w:pPr>
          </w:p>
        </w:tc>
        <w:tc>
          <w:tcPr>
            <w:tcW w:w="3827" w:type="dxa"/>
            <w:gridSpan w:val="3"/>
            <w:vAlign w:val="center"/>
          </w:tcPr>
          <w:p w14:paraId="38B21856">
            <w:pPr>
              <w:ind w:firstLine="0" w:firstLineChars="0"/>
              <w:jc w:val="center"/>
            </w:pPr>
            <w:r>
              <w:rPr>
                <w:rFonts w:hint="eastAsia"/>
              </w:rPr>
              <w:t>砂石土矿山</w:t>
            </w:r>
            <w:r>
              <w:t>6</w:t>
            </w:r>
            <w:r>
              <w:rPr>
                <w:rFonts w:hint="eastAsia"/>
              </w:rPr>
              <w:t>个</w:t>
            </w:r>
          </w:p>
        </w:tc>
        <w:tc>
          <w:tcPr>
            <w:tcW w:w="1610" w:type="dxa"/>
            <w:vAlign w:val="center"/>
          </w:tcPr>
          <w:p w14:paraId="026251D9">
            <w:pPr>
              <w:ind w:firstLine="0" w:firstLineChars="0"/>
              <w:jc w:val="center"/>
            </w:pPr>
            <w:r>
              <w:rPr>
                <w:rFonts w:hint="eastAsia"/>
              </w:rPr>
              <w:t>预期性</w:t>
            </w:r>
          </w:p>
        </w:tc>
      </w:tr>
      <w:tr w14:paraId="3F848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3"/>
            <w:vAlign w:val="center"/>
          </w:tcPr>
          <w:p w14:paraId="16590C3B">
            <w:pPr>
              <w:ind w:firstLine="0" w:firstLineChars="0"/>
              <w:jc w:val="center"/>
            </w:pPr>
            <w:r>
              <w:rPr>
                <w:rFonts w:hint="eastAsia"/>
              </w:rPr>
              <w:t>矿山“三率”水平达标率</w:t>
            </w:r>
          </w:p>
        </w:tc>
        <w:tc>
          <w:tcPr>
            <w:tcW w:w="3827" w:type="dxa"/>
            <w:gridSpan w:val="3"/>
            <w:vAlign w:val="center"/>
          </w:tcPr>
          <w:p w14:paraId="050CB9AD">
            <w:pPr>
              <w:ind w:firstLine="0" w:firstLineChars="0"/>
              <w:jc w:val="center"/>
            </w:pPr>
            <w:r>
              <w:t>85%</w:t>
            </w:r>
          </w:p>
        </w:tc>
        <w:tc>
          <w:tcPr>
            <w:tcW w:w="1610" w:type="dxa"/>
            <w:vAlign w:val="center"/>
          </w:tcPr>
          <w:p w14:paraId="2D01E71B">
            <w:pPr>
              <w:ind w:firstLine="0" w:firstLineChars="0"/>
              <w:jc w:val="center"/>
            </w:pPr>
            <w:r>
              <w:rPr>
                <w:rFonts w:hint="eastAsia"/>
              </w:rPr>
              <w:t>约束性</w:t>
            </w:r>
          </w:p>
        </w:tc>
      </w:tr>
      <w:tr w14:paraId="2E78B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3"/>
            <w:vAlign w:val="center"/>
          </w:tcPr>
          <w:p w14:paraId="639C204C">
            <w:pPr>
              <w:ind w:firstLine="0" w:firstLineChars="0"/>
              <w:jc w:val="center"/>
            </w:pPr>
            <w:r>
              <w:rPr>
                <w:rFonts w:hint="eastAsia"/>
              </w:rPr>
              <w:t>绿色矿山数量</w:t>
            </w:r>
          </w:p>
        </w:tc>
        <w:tc>
          <w:tcPr>
            <w:tcW w:w="3827" w:type="dxa"/>
            <w:gridSpan w:val="3"/>
            <w:vAlign w:val="center"/>
          </w:tcPr>
          <w:p w14:paraId="17AC05B4">
            <w:pPr>
              <w:ind w:firstLine="0" w:firstLineChars="0"/>
              <w:jc w:val="center"/>
            </w:pPr>
            <w:r>
              <w:t>1</w:t>
            </w:r>
            <w:r>
              <w:rPr>
                <w:rFonts w:hint="eastAsia"/>
              </w:rPr>
              <w:t>个</w:t>
            </w:r>
          </w:p>
        </w:tc>
        <w:tc>
          <w:tcPr>
            <w:tcW w:w="1610" w:type="dxa"/>
            <w:vAlign w:val="center"/>
          </w:tcPr>
          <w:p w14:paraId="2E609F77">
            <w:pPr>
              <w:ind w:firstLine="0" w:firstLineChars="0"/>
              <w:jc w:val="center"/>
            </w:pPr>
            <w:r>
              <w:rPr>
                <w:rFonts w:hint="eastAsia"/>
              </w:rPr>
              <w:t>预期性</w:t>
            </w:r>
          </w:p>
        </w:tc>
      </w:tr>
    </w:tbl>
    <w:p w14:paraId="7FBAA1A8">
      <w:pPr>
        <w:ind w:firstLine="482"/>
        <w:rPr>
          <w:b/>
        </w:rPr>
      </w:pPr>
      <w:r>
        <w:rPr>
          <w:b/>
        </w:rPr>
        <w:t>4</w:t>
      </w:r>
      <w:r>
        <w:rPr>
          <w:rFonts w:hint="eastAsia"/>
          <w:b/>
        </w:rPr>
        <w:t>、矿山环境保护与恢复治理、土地复垦</w:t>
      </w:r>
    </w:p>
    <w:p w14:paraId="795A9A93">
      <w:pPr>
        <w:ind w:firstLine="480"/>
      </w:pPr>
      <w:r>
        <w:rPr>
          <w:rFonts w:hint="eastAsia"/>
        </w:rPr>
        <w:t>到</w:t>
      </w:r>
      <w:r>
        <w:t>2020</w:t>
      </w:r>
      <w:r>
        <w:rPr>
          <w:rFonts w:hint="eastAsia"/>
        </w:rPr>
        <w:t>年，让矿山开采导致地质环境受损或恶化的现象得到有效遏制；矿山建设与生产按照保护环境、节能减排与建设和谐矿区、绿色矿山的要求，执行环保“三同时”制度，矿山粉尘和爆破噪声得到有效控制，矿山污染物达标排放；矿山“三率”水平达标率</w:t>
      </w:r>
      <w:r>
        <w:t>85%</w:t>
      </w:r>
      <w:r>
        <w:rPr>
          <w:rFonts w:hint="eastAsia"/>
        </w:rPr>
        <w:t>（见专栏</w:t>
      </w:r>
      <w:r>
        <w:t>4</w:t>
      </w:r>
      <w:r>
        <w:rPr>
          <w:rFonts w:hint="eastAsia"/>
        </w:rPr>
        <w:t>）；积极推进矿山治理与复绿工作，关停矿山的治理复绿后与周围环境协调一致，矿山环境保护取得明显成效（专栏</w:t>
      </w:r>
      <w:r>
        <w:t>5</w:t>
      </w:r>
      <w:r>
        <w:rPr>
          <w:rFonts w:hint="eastAsia"/>
        </w:rPr>
        <w:t>）。到</w:t>
      </w:r>
      <w:r>
        <w:t>2020</w:t>
      </w:r>
      <w:r>
        <w:rPr>
          <w:rFonts w:hint="eastAsia"/>
        </w:rPr>
        <w:t>年，矿山环境治理与复绿取得显著成效，达到砂石矿资源开采与生态环境和谐。</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3260"/>
        <w:gridCol w:w="2126"/>
        <w:gridCol w:w="1468"/>
      </w:tblGrid>
      <w:tr w14:paraId="664E9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vAlign w:val="center"/>
          </w:tcPr>
          <w:p w14:paraId="7F4A57BD">
            <w:pPr>
              <w:ind w:firstLine="0" w:firstLineChars="0"/>
              <w:jc w:val="center"/>
              <w:rPr>
                <w:b/>
              </w:rPr>
            </w:pPr>
            <w:r>
              <w:rPr>
                <w:rFonts w:hint="eastAsia"/>
                <w:b/>
              </w:rPr>
              <w:t>专栏</w:t>
            </w:r>
            <w:r>
              <w:rPr>
                <w:b/>
              </w:rPr>
              <w:t xml:space="preserve">5 </w:t>
            </w:r>
            <w:r>
              <w:rPr>
                <w:rFonts w:hint="eastAsia"/>
                <w:b/>
              </w:rPr>
              <w:t>矿山恢复治理与矿区土地复垦指标</w:t>
            </w:r>
          </w:p>
        </w:tc>
      </w:tr>
      <w:tr w14:paraId="33B3E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gridSpan w:val="2"/>
            <w:vAlign w:val="center"/>
          </w:tcPr>
          <w:p w14:paraId="0AD7946B">
            <w:pPr>
              <w:ind w:firstLine="0" w:firstLineChars="0"/>
              <w:jc w:val="center"/>
              <w:rPr>
                <w:b/>
              </w:rPr>
            </w:pPr>
            <w:r>
              <w:rPr>
                <w:rFonts w:hint="eastAsia"/>
                <w:b/>
              </w:rPr>
              <w:t>指标</w:t>
            </w:r>
          </w:p>
        </w:tc>
        <w:tc>
          <w:tcPr>
            <w:tcW w:w="2126" w:type="dxa"/>
            <w:vAlign w:val="center"/>
          </w:tcPr>
          <w:p w14:paraId="0A4BD44E">
            <w:pPr>
              <w:ind w:firstLine="0" w:firstLineChars="0"/>
              <w:jc w:val="center"/>
              <w:rPr>
                <w:b/>
              </w:rPr>
            </w:pPr>
            <w:r>
              <w:rPr>
                <w:b/>
              </w:rPr>
              <w:t>2020</w:t>
            </w:r>
            <w:r>
              <w:rPr>
                <w:rFonts w:hint="eastAsia"/>
                <w:b/>
              </w:rPr>
              <w:t>年</w:t>
            </w:r>
          </w:p>
        </w:tc>
        <w:tc>
          <w:tcPr>
            <w:tcW w:w="1468" w:type="dxa"/>
            <w:vAlign w:val="center"/>
          </w:tcPr>
          <w:p w14:paraId="69CB7873">
            <w:pPr>
              <w:ind w:firstLine="0" w:firstLineChars="0"/>
              <w:jc w:val="center"/>
              <w:rPr>
                <w:b/>
              </w:rPr>
            </w:pPr>
            <w:r>
              <w:rPr>
                <w:rFonts w:hint="eastAsia"/>
                <w:b/>
              </w:rPr>
              <w:t>指标属性</w:t>
            </w:r>
          </w:p>
        </w:tc>
      </w:tr>
      <w:tr w14:paraId="4E169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Merge w:val="restart"/>
            <w:vAlign w:val="center"/>
          </w:tcPr>
          <w:p w14:paraId="1D533CD4">
            <w:pPr>
              <w:ind w:firstLine="0" w:firstLineChars="0"/>
              <w:jc w:val="center"/>
            </w:pPr>
            <w:r>
              <w:rPr>
                <w:rFonts w:hint="eastAsia"/>
              </w:rPr>
              <w:t>矿山地质环境恢复治理</w:t>
            </w:r>
          </w:p>
        </w:tc>
        <w:tc>
          <w:tcPr>
            <w:tcW w:w="3260" w:type="dxa"/>
            <w:vAlign w:val="center"/>
          </w:tcPr>
          <w:p w14:paraId="079930D0">
            <w:pPr>
              <w:ind w:firstLine="0" w:firstLineChars="0"/>
              <w:jc w:val="center"/>
            </w:pPr>
            <w:r>
              <w:rPr>
                <w:rFonts w:hint="eastAsia"/>
              </w:rPr>
              <w:t>新建和生产矿山</w:t>
            </w:r>
          </w:p>
        </w:tc>
        <w:tc>
          <w:tcPr>
            <w:tcW w:w="2126" w:type="dxa"/>
            <w:vAlign w:val="center"/>
          </w:tcPr>
          <w:p w14:paraId="65E93BBA">
            <w:pPr>
              <w:ind w:firstLine="0" w:firstLineChars="0"/>
              <w:jc w:val="center"/>
            </w:pPr>
            <w:r>
              <w:rPr>
                <w:rFonts w:hint="eastAsia"/>
              </w:rPr>
              <w:t>全面治理</w:t>
            </w:r>
          </w:p>
        </w:tc>
        <w:tc>
          <w:tcPr>
            <w:tcW w:w="1468" w:type="dxa"/>
            <w:vMerge w:val="restart"/>
            <w:vAlign w:val="center"/>
          </w:tcPr>
          <w:p w14:paraId="1281A67F">
            <w:pPr>
              <w:ind w:firstLine="0" w:firstLineChars="0"/>
              <w:jc w:val="center"/>
            </w:pPr>
            <w:r>
              <w:rPr>
                <w:rFonts w:hint="eastAsia"/>
              </w:rPr>
              <w:t>约束性</w:t>
            </w:r>
          </w:p>
        </w:tc>
      </w:tr>
      <w:tr w14:paraId="4E744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Merge w:val="continue"/>
            <w:vAlign w:val="center"/>
          </w:tcPr>
          <w:p w14:paraId="171A1D6C">
            <w:pPr>
              <w:ind w:firstLine="0" w:firstLineChars="0"/>
              <w:jc w:val="center"/>
            </w:pPr>
          </w:p>
        </w:tc>
        <w:tc>
          <w:tcPr>
            <w:tcW w:w="3260" w:type="dxa"/>
            <w:vAlign w:val="center"/>
          </w:tcPr>
          <w:p w14:paraId="28023BF7">
            <w:pPr>
              <w:ind w:firstLine="0" w:firstLineChars="0"/>
              <w:jc w:val="center"/>
            </w:pPr>
            <w:r>
              <w:rPr>
                <w:rFonts w:hint="eastAsia"/>
              </w:rPr>
              <w:t>关闭矿山</w:t>
            </w:r>
          </w:p>
        </w:tc>
        <w:tc>
          <w:tcPr>
            <w:tcW w:w="2126" w:type="dxa"/>
            <w:vAlign w:val="center"/>
          </w:tcPr>
          <w:p w14:paraId="7F2CE5BE">
            <w:pPr>
              <w:ind w:firstLine="0" w:firstLineChars="0"/>
              <w:jc w:val="center"/>
            </w:pPr>
            <w:r>
              <w:t>46</w:t>
            </w:r>
            <w:r>
              <w:rPr>
                <w:rFonts w:hint="eastAsia"/>
              </w:rPr>
              <w:t>个全面治理</w:t>
            </w:r>
          </w:p>
        </w:tc>
        <w:tc>
          <w:tcPr>
            <w:tcW w:w="1468" w:type="dxa"/>
            <w:vMerge w:val="continue"/>
            <w:vAlign w:val="center"/>
          </w:tcPr>
          <w:p w14:paraId="50057C49">
            <w:pPr>
              <w:ind w:firstLine="0" w:firstLineChars="0"/>
              <w:jc w:val="center"/>
            </w:pPr>
          </w:p>
        </w:tc>
      </w:tr>
      <w:tr w14:paraId="69DB6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Merge w:val="restart"/>
            <w:vAlign w:val="center"/>
          </w:tcPr>
          <w:p w14:paraId="24FE8938">
            <w:pPr>
              <w:ind w:firstLine="0" w:firstLineChars="0"/>
              <w:jc w:val="center"/>
            </w:pPr>
            <w:r>
              <w:rPr>
                <w:rFonts w:hint="eastAsia"/>
              </w:rPr>
              <w:t>矿区土地复垦</w:t>
            </w:r>
          </w:p>
        </w:tc>
        <w:tc>
          <w:tcPr>
            <w:tcW w:w="3260" w:type="dxa"/>
            <w:vAlign w:val="center"/>
          </w:tcPr>
          <w:p w14:paraId="1A8E7941">
            <w:pPr>
              <w:ind w:firstLine="0" w:firstLineChars="0"/>
              <w:jc w:val="center"/>
            </w:pPr>
            <w:r>
              <w:rPr>
                <w:rFonts w:hint="eastAsia"/>
              </w:rPr>
              <w:t>新建和在建矿山损毁土地</w:t>
            </w:r>
          </w:p>
        </w:tc>
        <w:tc>
          <w:tcPr>
            <w:tcW w:w="2126" w:type="dxa"/>
            <w:vAlign w:val="center"/>
          </w:tcPr>
          <w:p w14:paraId="6D49EAA7">
            <w:pPr>
              <w:ind w:firstLine="0" w:firstLineChars="0"/>
              <w:jc w:val="center"/>
            </w:pPr>
            <w:r>
              <w:rPr>
                <w:rFonts w:hint="eastAsia"/>
              </w:rPr>
              <w:t>全面复垦</w:t>
            </w:r>
          </w:p>
        </w:tc>
        <w:tc>
          <w:tcPr>
            <w:tcW w:w="1468" w:type="dxa"/>
            <w:vMerge w:val="continue"/>
            <w:vAlign w:val="center"/>
          </w:tcPr>
          <w:p w14:paraId="43D92B0D">
            <w:pPr>
              <w:ind w:firstLine="0" w:firstLineChars="0"/>
              <w:jc w:val="center"/>
            </w:pPr>
          </w:p>
        </w:tc>
      </w:tr>
      <w:tr w14:paraId="5829E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Merge w:val="continue"/>
            <w:vAlign w:val="center"/>
          </w:tcPr>
          <w:p w14:paraId="1F42754F">
            <w:pPr>
              <w:ind w:firstLine="0" w:firstLineChars="0"/>
              <w:jc w:val="center"/>
            </w:pPr>
          </w:p>
        </w:tc>
        <w:tc>
          <w:tcPr>
            <w:tcW w:w="3260" w:type="dxa"/>
            <w:vAlign w:val="center"/>
          </w:tcPr>
          <w:p w14:paraId="21129FEA">
            <w:pPr>
              <w:ind w:firstLine="0" w:firstLineChars="0"/>
              <w:jc w:val="center"/>
            </w:pPr>
            <w:r>
              <w:rPr>
                <w:rFonts w:hint="eastAsia"/>
              </w:rPr>
              <w:t>关闭矿山（</w:t>
            </w:r>
            <w:r>
              <w:t>km</w:t>
            </w:r>
            <w:r>
              <w:rPr>
                <w:vertAlign w:val="superscript"/>
              </w:rPr>
              <w:t>2</w:t>
            </w:r>
            <w:r>
              <w:rPr>
                <w:rFonts w:hint="eastAsia"/>
              </w:rPr>
              <w:t>）</w:t>
            </w:r>
          </w:p>
        </w:tc>
        <w:tc>
          <w:tcPr>
            <w:tcW w:w="2126" w:type="dxa"/>
            <w:vAlign w:val="center"/>
          </w:tcPr>
          <w:p w14:paraId="7523C998">
            <w:pPr>
              <w:ind w:firstLine="0" w:firstLineChars="0"/>
              <w:jc w:val="center"/>
            </w:pPr>
            <w:r>
              <w:t>4.2</w:t>
            </w:r>
          </w:p>
        </w:tc>
        <w:tc>
          <w:tcPr>
            <w:tcW w:w="1468" w:type="dxa"/>
            <w:vMerge w:val="continue"/>
            <w:vAlign w:val="center"/>
          </w:tcPr>
          <w:p w14:paraId="1E760266">
            <w:pPr>
              <w:ind w:firstLine="0" w:firstLineChars="0"/>
              <w:jc w:val="center"/>
            </w:pPr>
          </w:p>
        </w:tc>
      </w:tr>
    </w:tbl>
    <w:p w14:paraId="65833CED">
      <w:pPr>
        <w:ind w:firstLine="482"/>
        <w:rPr>
          <w:b/>
        </w:rPr>
      </w:pPr>
      <w:r>
        <w:rPr>
          <w:rFonts w:hint="eastAsia"/>
          <w:b/>
        </w:rPr>
        <w:t>二、</w:t>
      </w:r>
      <w:r>
        <w:rPr>
          <w:b/>
        </w:rPr>
        <w:t>2025</w:t>
      </w:r>
      <w:r>
        <w:rPr>
          <w:rFonts w:hint="eastAsia"/>
          <w:b/>
        </w:rPr>
        <w:t>年展望</w:t>
      </w:r>
    </w:p>
    <w:p w14:paraId="1AB8F0A7">
      <w:pPr>
        <w:ind w:firstLine="480"/>
      </w:pPr>
      <w:r>
        <w:rPr>
          <w:rFonts w:hint="eastAsia"/>
        </w:rPr>
        <w:t>地质勘查工作取得更大成效，基本能满足贵州省贵安新区直管区“十四五”经济社会发展和社会公众的需求，贵州省贵安新区直管区矿产资源安全稳定的供给保障体系建立；矿产资源开发利用布局合理，矿业生产水平显著提高，矿业结构合理，矿产资源真正得到保护；矿山环境保护和恢复治理、土地复垦成效明显，实现矿山地质环境保护与治理恢复、土地复垦的动态管理，全面建成绿色矿山。</w:t>
      </w:r>
    </w:p>
    <w:p w14:paraId="2ED00A19">
      <w:pPr>
        <w:pStyle w:val="2"/>
      </w:pPr>
      <w:bookmarkStart w:id="10" w:name="_Toc508698460"/>
      <w:r>
        <w:rPr>
          <w:rFonts w:hint="eastAsia"/>
        </w:rPr>
        <w:t>第四章</w:t>
      </w:r>
      <w:r>
        <w:t xml:space="preserve">  </w:t>
      </w:r>
      <w:r>
        <w:rPr>
          <w:rFonts w:hint="eastAsia"/>
        </w:rPr>
        <w:t>矿产开发与资源产业布局</w:t>
      </w:r>
      <w:bookmarkEnd w:id="10"/>
    </w:p>
    <w:p w14:paraId="38320B49">
      <w:pPr>
        <w:pStyle w:val="3"/>
        <w:spacing w:before="156" w:after="156"/>
      </w:pPr>
      <w:bookmarkStart w:id="11" w:name="_Toc508698461"/>
      <w:r>
        <w:rPr>
          <w:rFonts w:hint="eastAsia"/>
        </w:rPr>
        <w:t>第一节</w:t>
      </w:r>
      <w:r>
        <w:t xml:space="preserve">  </w:t>
      </w:r>
      <w:r>
        <w:rPr>
          <w:rFonts w:hint="eastAsia"/>
        </w:rPr>
        <w:t>矿产资源勘查开发调控方向</w:t>
      </w:r>
      <w:bookmarkEnd w:id="11"/>
    </w:p>
    <w:p w14:paraId="4A2E22D1">
      <w:pPr>
        <w:ind w:firstLine="482"/>
        <w:rPr>
          <w:b/>
        </w:rPr>
      </w:pPr>
      <w:r>
        <w:rPr>
          <w:rFonts w:hint="eastAsia"/>
          <w:b/>
        </w:rPr>
        <w:t>一、矿产资源勘查开发调控方向</w:t>
      </w:r>
    </w:p>
    <w:p w14:paraId="549E7896">
      <w:pPr>
        <w:ind w:firstLine="480"/>
      </w:pPr>
      <w:r>
        <w:rPr>
          <w:rFonts w:hint="eastAsia"/>
        </w:rPr>
        <w:t>根据</w:t>
      </w:r>
      <w:r>
        <w:rPr>
          <w:rFonts w:hint="eastAsia" w:ascii="宋体" w:hAnsi="宋体"/>
          <w:szCs w:val="24"/>
        </w:rPr>
        <w:t>《贵州省矿产资源总体规划》（</w:t>
      </w:r>
      <w:r>
        <w:rPr>
          <w:rFonts w:ascii="宋体" w:hAnsi="宋体"/>
          <w:szCs w:val="24"/>
        </w:rPr>
        <w:t>2016—2020</w:t>
      </w:r>
      <w:r>
        <w:rPr>
          <w:rFonts w:hint="eastAsia" w:ascii="宋体" w:hAnsi="宋体"/>
          <w:szCs w:val="24"/>
        </w:rPr>
        <w:t>年）和</w:t>
      </w:r>
      <w:r>
        <w:rPr>
          <w:rFonts w:hint="eastAsia"/>
        </w:rPr>
        <w:t>贵安新区直管区内矿产资源的分布、现有开采格局和保障程度，发挥市场配置资源的决定性作用，本着实现资源、环境、生态、安全和经济效益相统一的原则，提升资源开发的集中度和规模，进行合理规划布局。</w:t>
      </w:r>
    </w:p>
    <w:p w14:paraId="7E2453DE">
      <w:pPr>
        <w:ind w:firstLine="482"/>
        <w:rPr>
          <w:b/>
        </w:rPr>
      </w:pPr>
      <w:r>
        <w:rPr>
          <w:b/>
        </w:rPr>
        <w:t>1</w:t>
      </w:r>
      <w:r>
        <w:rPr>
          <w:rFonts w:hint="eastAsia"/>
          <w:b/>
        </w:rPr>
        <w:t>、能源矿产</w:t>
      </w:r>
    </w:p>
    <w:p w14:paraId="261226CA">
      <w:pPr>
        <w:ind w:firstLine="480"/>
      </w:pPr>
      <w:r>
        <w:rPr>
          <w:rFonts w:hint="eastAsia"/>
        </w:rPr>
        <w:t>地热水资源：根据贵州省第十二次党代会，明确提出要打造“地热温泉省”，大力发展“温泉经济”的战略，积极推进地热水资源的勘查开发工作，预期实现深层地热水资源开发利用资源量达到</w:t>
      </w:r>
      <w:r>
        <w:t>50</w:t>
      </w:r>
      <w:r>
        <w:rPr>
          <w:rFonts w:hint="eastAsia"/>
        </w:rPr>
        <w:t>万吨</w:t>
      </w:r>
      <w:r>
        <w:t>/</w:t>
      </w:r>
      <w:r>
        <w:rPr>
          <w:rFonts w:hint="eastAsia"/>
        </w:rPr>
        <w:t>年。同时积极推进浅层地温能的资源调查评价。</w:t>
      </w:r>
    </w:p>
    <w:p w14:paraId="550BF8B2">
      <w:pPr>
        <w:ind w:firstLine="482"/>
        <w:rPr>
          <w:b/>
        </w:rPr>
      </w:pPr>
      <w:r>
        <w:rPr>
          <w:b/>
        </w:rPr>
        <w:t>2</w:t>
      </w:r>
      <w:r>
        <w:rPr>
          <w:rFonts w:hint="eastAsia"/>
          <w:b/>
        </w:rPr>
        <w:t>、砂石土矿产</w:t>
      </w:r>
    </w:p>
    <w:p w14:paraId="0B6C694F">
      <w:pPr>
        <w:ind w:firstLine="480"/>
      </w:pPr>
      <w:r>
        <w:rPr>
          <w:rFonts w:hint="eastAsia"/>
        </w:rPr>
        <w:t>目前贵安新区直管区内正在建设基础措施，对砂石矿产的需求很大。鼓励建筑用砂的生产规模集聚发展，开采实行总量控制，以满足直管区内需要为主，到</w:t>
      </w:r>
      <w:r>
        <w:t>2020</w:t>
      </w:r>
      <w:r>
        <w:rPr>
          <w:rFonts w:hint="eastAsia"/>
        </w:rPr>
        <w:t>年全区总开采量</w:t>
      </w:r>
      <w:r>
        <w:t>106</w:t>
      </w:r>
      <w:r>
        <w:rPr>
          <w:rFonts w:hint="eastAsia"/>
        </w:rPr>
        <w:t>万立方米。禁止开采可耕地的砖瓦用粘土。</w:t>
      </w:r>
    </w:p>
    <w:p w14:paraId="18264A47">
      <w:pPr>
        <w:ind w:firstLine="482"/>
        <w:rPr>
          <w:b/>
        </w:rPr>
      </w:pPr>
      <w:r>
        <w:rPr>
          <w:rFonts w:hint="eastAsia"/>
          <w:b/>
        </w:rPr>
        <w:t>二、开采规划分区</w:t>
      </w:r>
    </w:p>
    <w:p w14:paraId="5200D1CF">
      <w:pPr>
        <w:ind w:firstLine="480"/>
      </w:pPr>
      <w:r>
        <w:rPr>
          <w:rFonts w:hint="eastAsia"/>
        </w:rPr>
        <w:t>依据法律法规、直管区内资源的实际需求、环境承载能力、地质条件、资源保护等因素，结合城镇总体规划和土地利用总体规划，优化矿山空间布局，科学划分禁采区和限采区。</w:t>
      </w:r>
    </w:p>
    <w:p w14:paraId="13122FCF">
      <w:pPr>
        <w:ind w:firstLine="482"/>
        <w:rPr>
          <w:b/>
        </w:rPr>
      </w:pPr>
      <w:r>
        <w:rPr>
          <w:b/>
        </w:rPr>
        <w:t>1</w:t>
      </w:r>
      <w:r>
        <w:rPr>
          <w:rFonts w:hint="eastAsia"/>
          <w:b/>
        </w:rPr>
        <w:t>、禁止开采区</w:t>
      </w:r>
    </w:p>
    <w:p w14:paraId="0598FAA7">
      <w:pPr>
        <w:ind w:firstLine="480"/>
      </w:pPr>
      <w:r>
        <w:rPr>
          <w:rFonts w:hint="eastAsia"/>
        </w:rPr>
        <w:t>依据国家法律法规和特殊功能区的要求，划定以下区域为禁止开采区：</w:t>
      </w:r>
    </w:p>
    <w:p w14:paraId="772F403C">
      <w:pPr>
        <w:ind w:right="-175" w:rightChars="-73" w:firstLine="480"/>
        <w:jc w:val="left"/>
        <w:rPr>
          <w:rFonts w:ascii="宋体"/>
          <w:szCs w:val="28"/>
        </w:rPr>
      </w:pPr>
      <w:r>
        <w:rPr>
          <w:rFonts w:hint="eastAsia" w:ascii="宋体" w:hAnsi="宋体"/>
          <w:szCs w:val="28"/>
        </w:rPr>
        <w:t>（</w:t>
      </w:r>
      <w:r>
        <w:rPr>
          <w:rFonts w:ascii="宋体" w:hAnsi="宋体"/>
          <w:szCs w:val="28"/>
        </w:rPr>
        <w:t>1</w:t>
      </w:r>
      <w:r>
        <w:rPr>
          <w:rFonts w:hint="eastAsia" w:ascii="宋体" w:hAnsi="宋体"/>
          <w:szCs w:val="28"/>
        </w:rPr>
        <w:t>）经审查批准的国家和省级、市级自然保护区、重要风景名胜区、重要地质遗迹保护区、地质灾害危险区、重点保护的历史文物和名胜古迹所在地及其周围一定范围内；</w:t>
      </w:r>
    </w:p>
    <w:p w14:paraId="65FECFB9">
      <w:pPr>
        <w:ind w:right="-175" w:rightChars="-73" w:firstLine="480"/>
        <w:jc w:val="left"/>
        <w:rPr>
          <w:rFonts w:ascii="宋体"/>
          <w:szCs w:val="28"/>
        </w:rPr>
      </w:pPr>
      <w:r>
        <w:rPr>
          <w:rFonts w:hint="eastAsia" w:ascii="宋体" w:hAnsi="宋体"/>
          <w:szCs w:val="28"/>
        </w:rPr>
        <w:t>（</w:t>
      </w:r>
      <w:r>
        <w:rPr>
          <w:rFonts w:ascii="宋体" w:hAnsi="宋体"/>
          <w:szCs w:val="28"/>
        </w:rPr>
        <w:t>2</w:t>
      </w:r>
      <w:r>
        <w:rPr>
          <w:rFonts w:hint="eastAsia" w:ascii="宋体" w:hAnsi="宋体"/>
          <w:szCs w:val="28"/>
        </w:rPr>
        <w:t>）国道、省道、铁路、高速公路、高速铁路、油气管道、大型水利工程干渠（如黔中水利枢纽工程）及轻轨环线两侧直观可视范围内和影响其安全的地区；</w:t>
      </w:r>
    </w:p>
    <w:p w14:paraId="0BFE0EF2">
      <w:pPr>
        <w:ind w:right="-175" w:rightChars="-73" w:firstLine="480"/>
        <w:jc w:val="left"/>
        <w:rPr>
          <w:rFonts w:ascii="宋体"/>
          <w:szCs w:val="28"/>
        </w:rPr>
      </w:pPr>
      <w:r>
        <w:rPr>
          <w:rFonts w:hint="eastAsia" w:ascii="宋体" w:hAnsi="宋体"/>
          <w:szCs w:val="28"/>
        </w:rPr>
        <w:t>（</w:t>
      </w:r>
      <w:r>
        <w:rPr>
          <w:rFonts w:ascii="宋体" w:hAnsi="宋体"/>
          <w:szCs w:val="28"/>
        </w:rPr>
        <w:t>3</w:t>
      </w:r>
      <w:r>
        <w:rPr>
          <w:rFonts w:hint="eastAsia" w:ascii="宋体" w:hAnsi="宋体"/>
          <w:szCs w:val="28"/>
        </w:rPr>
        <w:t>）主要城镇、居民生活区、重要工业区、基本农田与耕地保护区和水库、水利工程及重大工程设施以及交通（铁路、公路、桥梁等）、电力、通讯、供水等基础设施及其周围，法律、法规确定的一定范围内；</w:t>
      </w:r>
    </w:p>
    <w:p w14:paraId="439F9012">
      <w:pPr>
        <w:ind w:right="-175" w:rightChars="-73" w:firstLine="480"/>
        <w:jc w:val="left"/>
        <w:rPr>
          <w:rFonts w:ascii="宋体"/>
          <w:szCs w:val="28"/>
        </w:rPr>
      </w:pPr>
      <w:r>
        <w:rPr>
          <w:rFonts w:hint="eastAsia" w:ascii="宋体" w:hAnsi="宋体"/>
          <w:szCs w:val="28"/>
        </w:rPr>
        <w:t>（</w:t>
      </w:r>
      <w:r>
        <w:rPr>
          <w:rFonts w:ascii="宋体" w:hAnsi="宋体"/>
          <w:szCs w:val="28"/>
        </w:rPr>
        <w:t>4</w:t>
      </w:r>
      <w:r>
        <w:rPr>
          <w:rFonts w:hint="eastAsia" w:ascii="宋体" w:hAnsi="宋体"/>
          <w:szCs w:val="28"/>
        </w:rPr>
        <w:t>）饮用水源地保护区、准保护区和主要河流与堤坝两侧规定的一定范围内；</w:t>
      </w:r>
    </w:p>
    <w:p w14:paraId="204EDEFD">
      <w:pPr>
        <w:ind w:right="-175" w:rightChars="-73" w:firstLine="480"/>
        <w:jc w:val="left"/>
        <w:rPr>
          <w:rFonts w:ascii="宋体"/>
          <w:szCs w:val="28"/>
        </w:rPr>
      </w:pPr>
      <w:r>
        <w:rPr>
          <w:rFonts w:hint="eastAsia" w:ascii="宋体" w:hAnsi="宋体"/>
          <w:szCs w:val="28"/>
        </w:rPr>
        <w:t>（</w:t>
      </w:r>
      <w:r>
        <w:rPr>
          <w:rFonts w:ascii="宋体" w:hAnsi="宋体"/>
          <w:szCs w:val="28"/>
        </w:rPr>
        <w:t>5</w:t>
      </w:r>
      <w:r>
        <w:rPr>
          <w:rFonts w:hint="eastAsia" w:ascii="宋体" w:hAnsi="宋体"/>
          <w:szCs w:val="28"/>
        </w:rPr>
        <w:t>）公益林及三级以上保护林地和乔木林、竹林、国家特别规定灌木林地；</w:t>
      </w:r>
    </w:p>
    <w:p w14:paraId="7FCE75E3">
      <w:pPr>
        <w:ind w:right="-175" w:rightChars="-73" w:firstLine="480"/>
        <w:jc w:val="left"/>
        <w:rPr>
          <w:rFonts w:ascii="宋体"/>
          <w:szCs w:val="28"/>
        </w:rPr>
      </w:pPr>
      <w:r>
        <w:rPr>
          <w:rFonts w:hint="eastAsia" w:ascii="宋体" w:hAnsi="宋体"/>
          <w:szCs w:val="28"/>
        </w:rPr>
        <w:t>（</w:t>
      </w:r>
      <w:r>
        <w:rPr>
          <w:rFonts w:ascii="宋体" w:hAnsi="宋体"/>
          <w:szCs w:val="28"/>
        </w:rPr>
        <w:t>6</w:t>
      </w:r>
      <w:r>
        <w:rPr>
          <w:rFonts w:hint="eastAsia" w:ascii="宋体" w:hAnsi="宋体"/>
          <w:szCs w:val="28"/>
        </w:rPr>
        <w:t>）军事禁区、军用设施、机场等划定的区域范围；</w:t>
      </w:r>
    </w:p>
    <w:p w14:paraId="67640C82">
      <w:pPr>
        <w:ind w:right="-175" w:rightChars="-73" w:firstLine="480"/>
        <w:jc w:val="left"/>
        <w:rPr>
          <w:rFonts w:ascii="宋体"/>
          <w:szCs w:val="28"/>
        </w:rPr>
      </w:pPr>
      <w:r>
        <w:rPr>
          <w:rFonts w:hint="eastAsia" w:ascii="宋体" w:hAnsi="宋体"/>
          <w:szCs w:val="28"/>
        </w:rPr>
        <w:t>（</w:t>
      </w:r>
      <w:r>
        <w:rPr>
          <w:rFonts w:ascii="宋体" w:hAnsi="宋体"/>
          <w:szCs w:val="28"/>
        </w:rPr>
        <w:t>7</w:t>
      </w:r>
      <w:r>
        <w:rPr>
          <w:rFonts w:hint="eastAsia" w:ascii="宋体" w:hAnsi="宋体"/>
          <w:szCs w:val="28"/>
        </w:rPr>
        <w:t>）政府发布规定的不准开采的其它区域。</w:t>
      </w:r>
    </w:p>
    <w:p w14:paraId="1DE0C6C8">
      <w:pPr>
        <w:ind w:right="-175" w:rightChars="-73" w:firstLine="480"/>
        <w:jc w:val="left"/>
        <w:rPr>
          <w:rFonts w:ascii="宋体"/>
          <w:szCs w:val="28"/>
        </w:rPr>
      </w:pPr>
      <w:r>
        <w:rPr>
          <w:rFonts w:hint="eastAsia" w:ascii="宋体" w:hAnsi="宋体"/>
          <w:szCs w:val="28"/>
        </w:rPr>
        <w:t>根据以上要求，划定禁止开采区</w:t>
      </w:r>
      <w:r>
        <w:rPr>
          <w:rFonts w:ascii="宋体" w:hAnsi="宋体"/>
          <w:szCs w:val="28"/>
        </w:rPr>
        <w:t>12</w:t>
      </w:r>
      <w:r>
        <w:rPr>
          <w:rFonts w:hint="eastAsia" w:ascii="宋体" w:hAnsi="宋体"/>
          <w:szCs w:val="28"/>
        </w:rPr>
        <w:t>处，（专栏</w:t>
      </w:r>
      <w:r>
        <w:rPr>
          <w:rFonts w:ascii="宋体" w:hAnsi="宋体"/>
          <w:szCs w:val="28"/>
        </w:rPr>
        <w:t>6</w:t>
      </w:r>
      <w:r>
        <w:rPr>
          <w:rFonts w:hint="eastAsia" w:ascii="宋体" w:hAnsi="宋体"/>
          <w:szCs w:val="28"/>
        </w:rPr>
        <w:t>、附图</w:t>
      </w:r>
      <w:r>
        <w:rPr>
          <w:rFonts w:ascii="宋体" w:hAnsi="宋体"/>
          <w:szCs w:val="28"/>
        </w:rPr>
        <w:t>4</w:t>
      </w:r>
      <w:r>
        <w:rPr>
          <w:rFonts w:hint="eastAsia" w:ascii="宋体" w:hAnsi="宋体"/>
          <w:szCs w:val="28"/>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5670"/>
        <w:gridCol w:w="1843"/>
      </w:tblGrid>
      <w:tr w14:paraId="35C0D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0" w:type="dxa"/>
            <w:gridSpan w:val="3"/>
            <w:vAlign w:val="center"/>
          </w:tcPr>
          <w:p w14:paraId="2BE7936E">
            <w:pPr>
              <w:ind w:firstLine="0" w:firstLineChars="0"/>
              <w:jc w:val="center"/>
              <w:rPr>
                <w:b/>
              </w:rPr>
            </w:pPr>
            <w:r>
              <w:rPr>
                <w:rFonts w:hint="eastAsia"/>
                <w:b/>
              </w:rPr>
              <w:t>专栏</w:t>
            </w:r>
            <w:r>
              <w:rPr>
                <w:b/>
              </w:rPr>
              <w:t>6</w:t>
            </w:r>
            <w:r>
              <w:rPr>
                <w:rFonts w:hint="eastAsia"/>
                <w:b/>
              </w:rPr>
              <w:t>贵安直管区禁止开采区</w:t>
            </w:r>
          </w:p>
        </w:tc>
      </w:tr>
      <w:tr w14:paraId="0598B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53BD0E6">
            <w:pPr>
              <w:ind w:firstLine="0" w:firstLineChars="0"/>
              <w:jc w:val="center"/>
              <w:rPr>
                <w:b/>
              </w:rPr>
            </w:pPr>
            <w:r>
              <w:rPr>
                <w:rFonts w:hint="eastAsia"/>
                <w:b/>
              </w:rPr>
              <w:t>序号</w:t>
            </w:r>
          </w:p>
        </w:tc>
        <w:tc>
          <w:tcPr>
            <w:tcW w:w="5670" w:type="dxa"/>
            <w:vAlign w:val="center"/>
          </w:tcPr>
          <w:p w14:paraId="22F397D0">
            <w:pPr>
              <w:ind w:firstLine="0" w:firstLineChars="0"/>
              <w:jc w:val="center"/>
              <w:rPr>
                <w:b/>
              </w:rPr>
            </w:pPr>
            <w:r>
              <w:rPr>
                <w:rFonts w:hint="eastAsia"/>
                <w:b/>
              </w:rPr>
              <w:t>项目名称</w:t>
            </w:r>
          </w:p>
        </w:tc>
        <w:tc>
          <w:tcPr>
            <w:tcW w:w="1843" w:type="dxa"/>
            <w:vAlign w:val="center"/>
          </w:tcPr>
          <w:p w14:paraId="4551752E">
            <w:pPr>
              <w:ind w:firstLine="0" w:firstLineChars="0"/>
              <w:jc w:val="center"/>
              <w:rPr>
                <w:b/>
              </w:rPr>
            </w:pPr>
            <w:r>
              <w:rPr>
                <w:rFonts w:hint="eastAsia"/>
                <w:b/>
              </w:rPr>
              <w:t>备注</w:t>
            </w:r>
          </w:p>
        </w:tc>
      </w:tr>
      <w:tr w14:paraId="144AC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A66105F">
            <w:pPr>
              <w:ind w:firstLine="0" w:firstLineChars="0"/>
              <w:jc w:val="center"/>
            </w:pPr>
            <w:r>
              <w:t>1</w:t>
            </w:r>
          </w:p>
        </w:tc>
        <w:tc>
          <w:tcPr>
            <w:tcW w:w="5670" w:type="dxa"/>
            <w:vAlign w:val="center"/>
          </w:tcPr>
          <w:p w14:paraId="50AD4149">
            <w:pPr>
              <w:spacing w:line="240" w:lineRule="exact"/>
              <w:ind w:firstLine="0" w:firstLineChars="0"/>
              <w:jc w:val="center"/>
            </w:pPr>
            <w:r>
              <w:rPr>
                <w:rFonts w:hint="eastAsia"/>
              </w:rPr>
              <w:t>红枫湖饮用水源保护区禁止开采</w:t>
            </w:r>
          </w:p>
        </w:tc>
        <w:tc>
          <w:tcPr>
            <w:tcW w:w="1843" w:type="dxa"/>
            <w:vAlign w:val="center"/>
          </w:tcPr>
          <w:p w14:paraId="53CAA0DC">
            <w:pPr>
              <w:ind w:firstLine="0" w:firstLineChars="0"/>
              <w:jc w:val="center"/>
            </w:pPr>
          </w:p>
        </w:tc>
      </w:tr>
      <w:tr w14:paraId="39765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4EEE34D">
            <w:pPr>
              <w:ind w:firstLine="0" w:firstLineChars="0"/>
              <w:jc w:val="center"/>
            </w:pPr>
            <w:r>
              <w:t>2</w:t>
            </w:r>
          </w:p>
        </w:tc>
        <w:tc>
          <w:tcPr>
            <w:tcW w:w="5670" w:type="dxa"/>
            <w:vAlign w:val="center"/>
          </w:tcPr>
          <w:p w14:paraId="483ABE02">
            <w:pPr>
              <w:spacing w:line="240" w:lineRule="exact"/>
              <w:ind w:firstLine="0" w:firstLineChars="0"/>
              <w:jc w:val="center"/>
            </w:pPr>
            <w:r>
              <w:rPr>
                <w:rFonts w:hint="eastAsia"/>
              </w:rPr>
              <w:t>高峰山省级风景名胜区、二级保护区及准保护区禁止开采区</w:t>
            </w:r>
          </w:p>
        </w:tc>
        <w:tc>
          <w:tcPr>
            <w:tcW w:w="1843" w:type="dxa"/>
            <w:vAlign w:val="center"/>
          </w:tcPr>
          <w:p w14:paraId="35B66EF8">
            <w:pPr>
              <w:ind w:firstLine="0" w:firstLineChars="0"/>
              <w:jc w:val="center"/>
            </w:pPr>
          </w:p>
        </w:tc>
      </w:tr>
      <w:tr w14:paraId="73795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A778E56">
            <w:pPr>
              <w:ind w:firstLine="0" w:firstLineChars="0"/>
              <w:jc w:val="center"/>
            </w:pPr>
            <w:r>
              <w:t>3</w:t>
            </w:r>
          </w:p>
        </w:tc>
        <w:tc>
          <w:tcPr>
            <w:tcW w:w="5670" w:type="dxa"/>
            <w:vAlign w:val="center"/>
          </w:tcPr>
          <w:p w14:paraId="16ED80D4">
            <w:pPr>
              <w:spacing w:line="240" w:lineRule="exact"/>
              <w:ind w:firstLine="0" w:firstLineChars="0"/>
              <w:jc w:val="center"/>
            </w:pPr>
            <w:r>
              <w:rPr>
                <w:rFonts w:hint="eastAsia"/>
              </w:rPr>
              <w:t>昆沪高速铁路禁止开采区</w:t>
            </w:r>
          </w:p>
        </w:tc>
        <w:tc>
          <w:tcPr>
            <w:tcW w:w="1843" w:type="dxa"/>
            <w:vAlign w:val="center"/>
          </w:tcPr>
          <w:p w14:paraId="51FDFAD2">
            <w:pPr>
              <w:ind w:firstLine="0" w:firstLineChars="0"/>
              <w:jc w:val="center"/>
            </w:pPr>
          </w:p>
        </w:tc>
      </w:tr>
      <w:tr w14:paraId="6DCF8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75A8C18">
            <w:pPr>
              <w:ind w:firstLine="0" w:firstLineChars="0"/>
              <w:jc w:val="center"/>
            </w:pPr>
            <w:r>
              <w:t>4</w:t>
            </w:r>
          </w:p>
        </w:tc>
        <w:tc>
          <w:tcPr>
            <w:tcW w:w="5670" w:type="dxa"/>
            <w:vAlign w:val="center"/>
          </w:tcPr>
          <w:p w14:paraId="2CFB5988">
            <w:pPr>
              <w:spacing w:line="240" w:lineRule="exact"/>
              <w:ind w:firstLine="0" w:firstLineChars="0"/>
              <w:jc w:val="center"/>
            </w:pPr>
            <w:r>
              <w:rPr>
                <w:rFonts w:hint="eastAsia"/>
              </w:rPr>
              <w:t>贵昆铁路禁止开采区</w:t>
            </w:r>
          </w:p>
        </w:tc>
        <w:tc>
          <w:tcPr>
            <w:tcW w:w="1843" w:type="dxa"/>
            <w:vAlign w:val="center"/>
          </w:tcPr>
          <w:p w14:paraId="070D88C8">
            <w:pPr>
              <w:ind w:firstLine="0" w:firstLineChars="0"/>
              <w:jc w:val="center"/>
            </w:pPr>
          </w:p>
        </w:tc>
      </w:tr>
      <w:tr w14:paraId="0436B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7DA71B7">
            <w:pPr>
              <w:ind w:firstLine="0" w:firstLineChars="0"/>
              <w:jc w:val="center"/>
            </w:pPr>
            <w:r>
              <w:t>5</w:t>
            </w:r>
          </w:p>
        </w:tc>
        <w:tc>
          <w:tcPr>
            <w:tcW w:w="5670" w:type="dxa"/>
            <w:vAlign w:val="center"/>
          </w:tcPr>
          <w:p w14:paraId="5098165E">
            <w:pPr>
              <w:spacing w:line="240" w:lineRule="exact"/>
              <w:ind w:firstLine="0" w:firstLineChars="0"/>
              <w:jc w:val="center"/>
            </w:pPr>
            <w:r>
              <w:rPr>
                <w:rFonts w:hint="eastAsia"/>
              </w:rPr>
              <w:t>天河潭国家级风景名胜区禁止开采区</w:t>
            </w:r>
          </w:p>
        </w:tc>
        <w:tc>
          <w:tcPr>
            <w:tcW w:w="1843" w:type="dxa"/>
            <w:vAlign w:val="center"/>
          </w:tcPr>
          <w:p w14:paraId="45AB1BA3">
            <w:pPr>
              <w:ind w:firstLine="0" w:firstLineChars="0"/>
              <w:jc w:val="center"/>
            </w:pPr>
          </w:p>
        </w:tc>
      </w:tr>
      <w:tr w14:paraId="49276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920EA17">
            <w:pPr>
              <w:ind w:firstLine="0" w:firstLineChars="0"/>
              <w:jc w:val="center"/>
            </w:pPr>
            <w:r>
              <w:t>6</w:t>
            </w:r>
          </w:p>
        </w:tc>
        <w:tc>
          <w:tcPr>
            <w:tcW w:w="5670" w:type="dxa"/>
            <w:vAlign w:val="center"/>
          </w:tcPr>
          <w:p w14:paraId="2ABCC34E">
            <w:pPr>
              <w:spacing w:line="240" w:lineRule="exact"/>
              <w:ind w:firstLine="0" w:firstLineChars="0"/>
              <w:jc w:val="center"/>
            </w:pPr>
            <w:r>
              <w:rPr>
                <w:rFonts w:hint="eastAsia"/>
              </w:rPr>
              <w:t>磊庄机场禁止开采区</w:t>
            </w:r>
          </w:p>
        </w:tc>
        <w:tc>
          <w:tcPr>
            <w:tcW w:w="1843" w:type="dxa"/>
            <w:vAlign w:val="center"/>
          </w:tcPr>
          <w:p w14:paraId="6CD9B205">
            <w:pPr>
              <w:ind w:firstLine="0" w:firstLineChars="0"/>
              <w:jc w:val="center"/>
            </w:pPr>
          </w:p>
        </w:tc>
      </w:tr>
      <w:tr w14:paraId="25E09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B7CACF0">
            <w:pPr>
              <w:ind w:firstLine="0" w:firstLineChars="0"/>
              <w:jc w:val="center"/>
            </w:pPr>
            <w:r>
              <w:t>7</w:t>
            </w:r>
          </w:p>
        </w:tc>
        <w:tc>
          <w:tcPr>
            <w:tcW w:w="5670" w:type="dxa"/>
            <w:vAlign w:val="center"/>
          </w:tcPr>
          <w:p w14:paraId="4D71EE39">
            <w:pPr>
              <w:spacing w:line="240" w:lineRule="exact"/>
              <w:ind w:firstLine="0" w:firstLineChars="0"/>
              <w:jc w:val="center"/>
            </w:pPr>
            <w:r>
              <w:rPr>
                <w:rFonts w:hint="eastAsia"/>
              </w:rPr>
              <w:t>中贵天然气管道禁止开采区</w:t>
            </w:r>
          </w:p>
        </w:tc>
        <w:tc>
          <w:tcPr>
            <w:tcW w:w="1843" w:type="dxa"/>
            <w:vAlign w:val="center"/>
          </w:tcPr>
          <w:p w14:paraId="50091E8E">
            <w:pPr>
              <w:ind w:firstLine="0" w:firstLineChars="0"/>
              <w:jc w:val="center"/>
            </w:pPr>
          </w:p>
        </w:tc>
      </w:tr>
      <w:tr w14:paraId="13F26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BFDF572">
            <w:pPr>
              <w:ind w:firstLine="0" w:firstLineChars="0"/>
              <w:jc w:val="center"/>
            </w:pPr>
            <w:r>
              <w:t>8</w:t>
            </w:r>
          </w:p>
        </w:tc>
        <w:tc>
          <w:tcPr>
            <w:tcW w:w="5670" w:type="dxa"/>
            <w:vAlign w:val="center"/>
          </w:tcPr>
          <w:p w14:paraId="04B473E4">
            <w:pPr>
              <w:spacing w:line="240" w:lineRule="exact"/>
              <w:ind w:firstLine="0" w:firstLineChars="0"/>
              <w:jc w:val="center"/>
            </w:pPr>
            <w:r>
              <w:rPr>
                <w:rFonts w:hint="eastAsia"/>
              </w:rPr>
              <w:t>松柏山水库饮用水源地保护区禁止开采区</w:t>
            </w:r>
          </w:p>
        </w:tc>
        <w:tc>
          <w:tcPr>
            <w:tcW w:w="1843" w:type="dxa"/>
            <w:vAlign w:val="center"/>
          </w:tcPr>
          <w:p w14:paraId="2C35DC69">
            <w:pPr>
              <w:ind w:firstLine="0" w:firstLineChars="0"/>
              <w:jc w:val="center"/>
            </w:pPr>
          </w:p>
        </w:tc>
      </w:tr>
      <w:tr w14:paraId="5EF23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67E9500">
            <w:pPr>
              <w:ind w:firstLine="0" w:firstLineChars="0"/>
              <w:jc w:val="center"/>
            </w:pPr>
            <w:r>
              <w:t>9</w:t>
            </w:r>
          </w:p>
        </w:tc>
        <w:tc>
          <w:tcPr>
            <w:tcW w:w="5670" w:type="dxa"/>
            <w:vAlign w:val="center"/>
          </w:tcPr>
          <w:p w14:paraId="51F9F27F">
            <w:pPr>
              <w:spacing w:line="240" w:lineRule="exact"/>
              <w:ind w:firstLine="0" w:firstLineChars="0"/>
              <w:jc w:val="center"/>
            </w:pPr>
            <w:r>
              <w:rPr>
                <w:rFonts w:hint="eastAsia"/>
              </w:rPr>
              <w:t>环城高速禁止开采区</w:t>
            </w:r>
          </w:p>
        </w:tc>
        <w:tc>
          <w:tcPr>
            <w:tcW w:w="1843" w:type="dxa"/>
            <w:vAlign w:val="center"/>
          </w:tcPr>
          <w:p w14:paraId="3A9DE46D">
            <w:pPr>
              <w:ind w:firstLine="0" w:firstLineChars="0"/>
              <w:jc w:val="center"/>
            </w:pPr>
          </w:p>
        </w:tc>
      </w:tr>
      <w:tr w14:paraId="62CC9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5C38426">
            <w:pPr>
              <w:ind w:firstLine="0" w:firstLineChars="0"/>
              <w:jc w:val="center"/>
            </w:pPr>
            <w:r>
              <w:t>10</w:t>
            </w:r>
          </w:p>
        </w:tc>
        <w:tc>
          <w:tcPr>
            <w:tcW w:w="5670" w:type="dxa"/>
            <w:vAlign w:val="center"/>
          </w:tcPr>
          <w:p w14:paraId="0A311C4B">
            <w:pPr>
              <w:spacing w:line="240" w:lineRule="exact"/>
              <w:ind w:firstLine="0" w:firstLineChars="0"/>
              <w:jc w:val="center"/>
            </w:pPr>
            <w:r>
              <w:rPr>
                <w:rFonts w:hint="eastAsia"/>
              </w:rPr>
              <w:t>中缅油气管道禁止开采区</w:t>
            </w:r>
          </w:p>
        </w:tc>
        <w:tc>
          <w:tcPr>
            <w:tcW w:w="1843" w:type="dxa"/>
            <w:vAlign w:val="center"/>
          </w:tcPr>
          <w:p w14:paraId="4140FF2F">
            <w:pPr>
              <w:ind w:firstLine="0" w:firstLineChars="0"/>
              <w:jc w:val="center"/>
            </w:pPr>
          </w:p>
        </w:tc>
      </w:tr>
      <w:tr w14:paraId="0AF81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42E924D">
            <w:pPr>
              <w:ind w:firstLine="0" w:firstLineChars="0"/>
              <w:jc w:val="center"/>
            </w:pPr>
            <w:r>
              <w:t>11</w:t>
            </w:r>
          </w:p>
        </w:tc>
        <w:tc>
          <w:tcPr>
            <w:tcW w:w="5670" w:type="dxa"/>
            <w:vAlign w:val="center"/>
          </w:tcPr>
          <w:p w14:paraId="30A6D391">
            <w:pPr>
              <w:spacing w:line="240" w:lineRule="exact"/>
              <w:ind w:firstLine="0" w:firstLineChars="0"/>
              <w:jc w:val="center"/>
            </w:pPr>
            <w:r>
              <w:rPr>
                <w:rFonts w:hint="eastAsia"/>
              </w:rPr>
              <w:t>黔中水利一期工程集中式饮用水源保护区禁止开采区</w:t>
            </w:r>
          </w:p>
        </w:tc>
        <w:tc>
          <w:tcPr>
            <w:tcW w:w="1843" w:type="dxa"/>
            <w:vAlign w:val="center"/>
          </w:tcPr>
          <w:p w14:paraId="48E862F3">
            <w:pPr>
              <w:spacing w:line="240" w:lineRule="exact"/>
              <w:ind w:firstLine="0" w:firstLineChars="0"/>
              <w:jc w:val="center"/>
            </w:pPr>
            <w:r>
              <w:rPr>
                <w:rFonts w:hint="eastAsia"/>
              </w:rPr>
              <w:t>目前正在划定该区域</w:t>
            </w:r>
          </w:p>
        </w:tc>
      </w:tr>
      <w:tr w14:paraId="6D0E8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786C8F9">
            <w:pPr>
              <w:ind w:firstLine="0" w:firstLineChars="0"/>
              <w:jc w:val="center"/>
            </w:pPr>
            <w:r>
              <w:t>12</w:t>
            </w:r>
          </w:p>
        </w:tc>
        <w:tc>
          <w:tcPr>
            <w:tcW w:w="5670" w:type="dxa"/>
            <w:vAlign w:val="center"/>
          </w:tcPr>
          <w:p w14:paraId="16775D2D">
            <w:pPr>
              <w:ind w:firstLine="0" w:firstLineChars="0"/>
              <w:jc w:val="center"/>
            </w:pPr>
            <w:r>
              <w:rPr>
                <w:rFonts w:hint="eastAsia"/>
              </w:rPr>
              <w:t>贵安第二高速禁止开采区</w:t>
            </w:r>
          </w:p>
        </w:tc>
        <w:tc>
          <w:tcPr>
            <w:tcW w:w="1843" w:type="dxa"/>
            <w:vAlign w:val="center"/>
          </w:tcPr>
          <w:p w14:paraId="77404327">
            <w:pPr>
              <w:ind w:firstLine="0" w:firstLineChars="0"/>
              <w:jc w:val="center"/>
            </w:pPr>
          </w:p>
        </w:tc>
      </w:tr>
    </w:tbl>
    <w:p w14:paraId="4F1362EA">
      <w:pPr>
        <w:ind w:firstLine="480"/>
      </w:pPr>
      <w:r>
        <w:rPr>
          <w:rFonts w:hint="eastAsia"/>
        </w:rPr>
        <w:t>全面落实在禁采区内开展不符合功能定位的矿产开发活动，区内矿山到期不再延续，进行关闭，不再设立新的或投放采矿权。目前区内的</w:t>
      </w:r>
      <w:r>
        <w:t>46</w:t>
      </w:r>
      <w:r>
        <w:rPr>
          <w:rFonts w:hint="eastAsia"/>
        </w:rPr>
        <w:t>个矿山已经关闭，</w:t>
      </w:r>
      <w:r>
        <w:t>1</w:t>
      </w:r>
      <w:r>
        <w:rPr>
          <w:rFonts w:hint="eastAsia"/>
        </w:rPr>
        <w:t>个矿山正在进行生产，下一步进行矿山地质环境恢复治理。</w:t>
      </w:r>
    </w:p>
    <w:p w14:paraId="4EFB060B">
      <w:pPr>
        <w:ind w:firstLine="480"/>
      </w:pPr>
      <w:r>
        <w:rPr>
          <w:rFonts w:hint="eastAsia"/>
        </w:rPr>
        <w:t>贵州省环保厅正在开展黔中一期集中式饮水水源保护区划定工作，涉及贵安新区马场镇凯掌水库并正在划定该水源保护区。因此，如若相关政府部门未划定该区域为水源保护区，可以在该区域设置探矿权等；若相关政府部门划定该区域为水源保护区，则为禁采区，禁止区内开展不符合功能定位的矿产开发活动。</w:t>
      </w:r>
    </w:p>
    <w:p w14:paraId="36AB1EF1">
      <w:pPr>
        <w:ind w:firstLine="480"/>
      </w:pPr>
      <w:r>
        <w:rPr>
          <w:rFonts w:hint="eastAsia"/>
        </w:rPr>
        <w:t>在确保不影响生态环境保护功能的前提下，经相关部门同意，可在自然保护区、风景名胜区等禁止开采区开展地热资源的勘查活动。</w:t>
      </w:r>
    </w:p>
    <w:p w14:paraId="5AA6E606">
      <w:pPr>
        <w:ind w:firstLine="482"/>
        <w:rPr>
          <w:b/>
        </w:rPr>
      </w:pPr>
      <w:r>
        <w:rPr>
          <w:b/>
        </w:rPr>
        <w:t>2</w:t>
      </w:r>
      <w:r>
        <w:rPr>
          <w:rFonts w:hint="eastAsia"/>
          <w:b/>
        </w:rPr>
        <w:t>、限制开采区</w:t>
      </w:r>
    </w:p>
    <w:p w14:paraId="28A0A3D6">
      <w:pPr>
        <w:ind w:firstLine="480"/>
      </w:pPr>
      <w:r>
        <w:rPr>
          <w:rFonts w:hint="eastAsia"/>
        </w:rPr>
        <w:t>根据贵安新区直管区的产业政策、经济发展及资源环境保护等，受经济、技术、安全、环境等多种因素的制约，划定以下区域为限制开采区：</w:t>
      </w:r>
    </w:p>
    <w:p w14:paraId="1941E03F">
      <w:pPr>
        <w:ind w:firstLine="480"/>
        <w:rPr>
          <w:rFonts w:ascii="宋体"/>
          <w:szCs w:val="28"/>
        </w:rPr>
      </w:pPr>
      <w:r>
        <w:rPr>
          <w:rFonts w:hint="eastAsia" w:ascii="宋体" w:hAnsi="宋体"/>
          <w:szCs w:val="28"/>
        </w:rPr>
        <w:t>（</w:t>
      </w:r>
      <w:r>
        <w:rPr>
          <w:rFonts w:ascii="宋体" w:hAnsi="宋体"/>
          <w:szCs w:val="28"/>
        </w:rPr>
        <w:t>1</w:t>
      </w:r>
      <w:r>
        <w:rPr>
          <w:rFonts w:hint="eastAsia" w:ascii="宋体" w:hAnsi="宋体"/>
          <w:szCs w:val="28"/>
        </w:rPr>
        <w:t>）虽不在禁止开采区内，但对生态环境或自然景观、城镇优化有一定影响，或在乡、镇公路两侧较近距离，又依法取得采矿权、砂石需求量较大的地区；</w:t>
      </w:r>
    </w:p>
    <w:p w14:paraId="337B60B0">
      <w:pPr>
        <w:ind w:firstLine="480"/>
        <w:rPr>
          <w:rFonts w:ascii="宋体"/>
          <w:szCs w:val="28"/>
        </w:rPr>
      </w:pPr>
      <w:r>
        <w:rPr>
          <w:rFonts w:hint="eastAsia" w:ascii="宋体" w:hAnsi="宋体"/>
          <w:szCs w:val="28"/>
        </w:rPr>
        <w:t>（</w:t>
      </w:r>
      <w:r>
        <w:rPr>
          <w:rFonts w:ascii="宋体" w:hAnsi="宋体"/>
          <w:szCs w:val="28"/>
        </w:rPr>
        <w:t>2</w:t>
      </w:r>
      <w:r>
        <w:rPr>
          <w:rFonts w:hint="eastAsia" w:ascii="宋体" w:hAnsi="宋体"/>
          <w:szCs w:val="28"/>
        </w:rPr>
        <w:t>）存在安全隐患，或可能诱发地质灾害，或影响生态环境、有碍城镇美化，通过限期治理性开采，消除隐患，改善环境，又可增加建设用地的地区；</w:t>
      </w:r>
    </w:p>
    <w:p w14:paraId="423D4F49">
      <w:pPr>
        <w:ind w:firstLine="480"/>
        <w:rPr>
          <w:rFonts w:ascii="宋体"/>
          <w:szCs w:val="28"/>
        </w:rPr>
      </w:pPr>
      <w:r>
        <w:rPr>
          <w:rFonts w:hint="eastAsia" w:ascii="宋体" w:hAnsi="宋体"/>
          <w:szCs w:val="28"/>
        </w:rPr>
        <w:t>（</w:t>
      </w:r>
      <w:r>
        <w:rPr>
          <w:rFonts w:ascii="宋体" w:hAnsi="宋体"/>
          <w:szCs w:val="28"/>
        </w:rPr>
        <w:t>3</w:t>
      </w:r>
      <w:r>
        <w:rPr>
          <w:rFonts w:hint="eastAsia" w:ascii="宋体" w:hAnsi="宋体"/>
          <w:szCs w:val="28"/>
        </w:rPr>
        <w:t>）开采矿种为限制矿种的区域（砖瓦用页岩）；</w:t>
      </w:r>
    </w:p>
    <w:p w14:paraId="41F7A362">
      <w:pPr>
        <w:ind w:firstLine="482"/>
        <w:rPr>
          <w:b/>
        </w:rPr>
      </w:pPr>
      <w:r>
        <w:rPr>
          <w:rFonts w:hint="eastAsia"/>
          <w:b/>
        </w:rPr>
        <w:t>三、勘查规划区</w:t>
      </w:r>
    </w:p>
    <w:p w14:paraId="6B66349A">
      <w:pPr>
        <w:ind w:firstLine="480"/>
        <w:rPr>
          <w:rFonts w:ascii="宋体"/>
          <w:szCs w:val="28"/>
        </w:rPr>
      </w:pPr>
      <w:r>
        <w:rPr>
          <w:rFonts w:hint="eastAsia" w:ascii="宋体" w:hAnsi="宋体"/>
          <w:szCs w:val="28"/>
        </w:rPr>
        <w:t>考虑贵安新区直管区基础建设和现代农业、国际新城区的需要，规划了</w:t>
      </w:r>
      <w:r>
        <w:rPr>
          <w:rFonts w:ascii="宋体" w:hAnsi="宋体"/>
          <w:szCs w:val="28"/>
        </w:rPr>
        <w:t>2</w:t>
      </w:r>
      <w:r>
        <w:rPr>
          <w:rFonts w:hint="eastAsia" w:ascii="宋体" w:hAnsi="宋体"/>
          <w:szCs w:val="28"/>
        </w:rPr>
        <w:t>个勘查规划区。（专栏</w:t>
      </w:r>
      <w:r>
        <w:rPr>
          <w:rFonts w:ascii="宋体" w:hAnsi="宋体"/>
          <w:szCs w:val="28"/>
        </w:rPr>
        <w:t>7</w:t>
      </w:r>
      <w:r>
        <w:rPr>
          <w:rFonts w:hint="eastAsia" w:ascii="宋体" w:hAnsi="宋体"/>
          <w:szCs w:val="28"/>
        </w:rPr>
        <w:t>、附图</w:t>
      </w:r>
      <w:r>
        <w:rPr>
          <w:rFonts w:ascii="宋体" w:hAnsi="宋体"/>
          <w:szCs w:val="28"/>
        </w:rPr>
        <w:t>4</w:t>
      </w:r>
      <w:r>
        <w:rPr>
          <w:rFonts w:hint="eastAsia" w:ascii="宋体" w:hAnsi="宋体"/>
          <w:szCs w:val="28"/>
        </w:rPr>
        <w:t>）</w:t>
      </w:r>
    </w:p>
    <w:p w14:paraId="4B92C919">
      <w:pPr>
        <w:ind w:firstLine="480"/>
        <w:rPr>
          <w:rFonts w:ascii="宋体"/>
          <w:szCs w:val="28"/>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5812"/>
        <w:gridCol w:w="1701"/>
      </w:tblGrid>
      <w:tr w14:paraId="438E4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0" w:type="dxa"/>
            <w:gridSpan w:val="3"/>
            <w:vAlign w:val="center"/>
          </w:tcPr>
          <w:p w14:paraId="3D72D3E7">
            <w:pPr>
              <w:ind w:firstLine="0" w:firstLineChars="0"/>
              <w:jc w:val="center"/>
              <w:rPr>
                <w:b/>
              </w:rPr>
            </w:pPr>
            <w:r>
              <w:rPr>
                <w:rFonts w:hint="eastAsia"/>
                <w:b/>
              </w:rPr>
              <w:t>专栏</w:t>
            </w:r>
            <w:r>
              <w:rPr>
                <w:b/>
              </w:rPr>
              <w:t xml:space="preserve">7 </w:t>
            </w:r>
            <w:r>
              <w:rPr>
                <w:rFonts w:hint="eastAsia"/>
                <w:b/>
              </w:rPr>
              <w:t>贵安新区直管区地热水勘查</w:t>
            </w:r>
            <w:r>
              <w:rPr>
                <w:rFonts w:hint="eastAsia" w:ascii="宋体" w:hAnsi="宋体"/>
                <w:b/>
                <w:szCs w:val="28"/>
              </w:rPr>
              <w:t>规划</w:t>
            </w:r>
            <w:r>
              <w:rPr>
                <w:rFonts w:hint="eastAsia"/>
                <w:b/>
              </w:rPr>
              <w:t>区</w:t>
            </w:r>
          </w:p>
        </w:tc>
      </w:tr>
      <w:tr w14:paraId="55EAB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817" w:type="dxa"/>
            <w:vAlign w:val="center"/>
          </w:tcPr>
          <w:p w14:paraId="032EC9FC">
            <w:pPr>
              <w:ind w:firstLine="0" w:firstLineChars="0"/>
              <w:jc w:val="center"/>
              <w:rPr>
                <w:b/>
              </w:rPr>
            </w:pPr>
            <w:r>
              <w:rPr>
                <w:rFonts w:hint="eastAsia"/>
                <w:b/>
              </w:rPr>
              <w:t>序号</w:t>
            </w:r>
          </w:p>
        </w:tc>
        <w:tc>
          <w:tcPr>
            <w:tcW w:w="5812" w:type="dxa"/>
            <w:vAlign w:val="center"/>
          </w:tcPr>
          <w:p w14:paraId="0EF4C1C0">
            <w:pPr>
              <w:ind w:firstLine="0" w:firstLineChars="0"/>
              <w:jc w:val="center"/>
              <w:rPr>
                <w:b/>
              </w:rPr>
            </w:pPr>
            <w:r>
              <w:rPr>
                <w:rFonts w:hint="eastAsia"/>
                <w:b/>
              </w:rPr>
              <w:t>名</w:t>
            </w:r>
            <w:r>
              <w:rPr>
                <w:b/>
              </w:rPr>
              <w:t xml:space="preserve">  </w:t>
            </w:r>
            <w:r>
              <w:rPr>
                <w:rFonts w:hint="eastAsia"/>
                <w:b/>
              </w:rPr>
              <w:t>称</w:t>
            </w:r>
          </w:p>
        </w:tc>
        <w:tc>
          <w:tcPr>
            <w:tcW w:w="1701" w:type="dxa"/>
            <w:vAlign w:val="center"/>
          </w:tcPr>
          <w:p w14:paraId="146F3C59">
            <w:pPr>
              <w:ind w:firstLine="0" w:firstLineChars="0"/>
              <w:jc w:val="center"/>
              <w:rPr>
                <w:b/>
              </w:rPr>
            </w:pPr>
            <w:r>
              <w:rPr>
                <w:rFonts w:hint="eastAsia"/>
                <w:b/>
              </w:rPr>
              <w:t>面积（</w:t>
            </w:r>
            <w:r>
              <w:rPr>
                <w:b/>
              </w:rPr>
              <w:t>km</w:t>
            </w:r>
            <w:r>
              <w:rPr>
                <w:b/>
                <w:vertAlign w:val="superscript"/>
              </w:rPr>
              <w:t>2</w:t>
            </w:r>
            <w:r>
              <w:rPr>
                <w:rFonts w:hint="eastAsia"/>
                <w:b/>
              </w:rPr>
              <w:t>）</w:t>
            </w:r>
          </w:p>
        </w:tc>
      </w:tr>
      <w:tr w14:paraId="2989F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CAF852D">
            <w:pPr>
              <w:ind w:firstLine="0" w:firstLineChars="0"/>
              <w:jc w:val="center"/>
            </w:pPr>
            <w:r>
              <w:t>1</w:t>
            </w:r>
          </w:p>
        </w:tc>
        <w:tc>
          <w:tcPr>
            <w:tcW w:w="5812" w:type="dxa"/>
            <w:vAlign w:val="center"/>
          </w:tcPr>
          <w:p w14:paraId="2958B070">
            <w:pPr>
              <w:ind w:firstLine="0" w:firstLineChars="0"/>
              <w:jc w:val="center"/>
            </w:pPr>
            <w:r>
              <w:rPr>
                <w:rFonts w:hint="eastAsia"/>
              </w:rPr>
              <w:t>高峰镇栗木</w:t>
            </w:r>
            <w:r>
              <w:t>—</w:t>
            </w:r>
            <w:r>
              <w:rPr>
                <w:rFonts w:hint="eastAsia"/>
              </w:rPr>
              <w:t>毛昌堡地热资源勘查</w:t>
            </w:r>
            <w:r>
              <w:rPr>
                <w:rFonts w:hint="eastAsia" w:ascii="宋体" w:hAnsi="宋体"/>
                <w:szCs w:val="28"/>
              </w:rPr>
              <w:t>规划</w:t>
            </w:r>
            <w:r>
              <w:rPr>
                <w:rFonts w:hint="eastAsia"/>
              </w:rPr>
              <w:t>区</w:t>
            </w:r>
          </w:p>
        </w:tc>
        <w:tc>
          <w:tcPr>
            <w:tcW w:w="1701" w:type="dxa"/>
            <w:vAlign w:val="center"/>
          </w:tcPr>
          <w:p w14:paraId="27BA231F">
            <w:pPr>
              <w:ind w:firstLine="0" w:firstLineChars="0"/>
              <w:jc w:val="center"/>
            </w:pPr>
            <w:r>
              <w:t>27.05</w:t>
            </w:r>
          </w:p>
        </w:tc>
      </w:tr>
      <w:tr w14:paraId="37F8D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CEBD386">
            <w:pPr>
              <w:ind w:firstLine="0" w:firstLineChars="0"/>
              <w:jc w:val="center"/>
            </w:pPr>
            <w:r>
              <w:t>2</w:t>
            </w:r>
          </w:p>
        </w:tc>
        <w:tc>
          <w:tcPr>
            <w:tcW w:w="5812" w:type="dxa"/>
            <w:vAlign w:val="center"/>
          </w:tcPr>
          <w:p w14:paraId="1C28C29C">
            <w:pPr>
              <w:ind w:firstLine="0" w:firstLineChars="0"/>
              <w:jc w:val="center"/>
            </w:pPr>
            <w:r>
              <w:rPr>
                <w:rFonts w:hint="eastAsia"/>
              </w:rPr>
              <w:t>高峰镇王家院子</w:t>
            </w:r>
            <w:r>
              <w:t>—</w:t>
            </w:r>
            <w:r>
              <w:rPr>
                <w:rFonts w:hint="eastAsia"/>
              </w:rPr>
              <w:t>马场镇新村地热资源勘查</w:t>
            </w:r>
            <w:r>
              <w:rPr>
                <w:rFonts w:hint="eastAsia" w:ascii="宋体" w:hAnsi="宋体"/>
                <w:szCs w:val="28"/>
              </w:rPr>
              <w:t>规划</w:t>
            </w:r>
            <w:r>
              <w:rPr>
                <w:rFonts w:hint="eastAsia"/>
              </w:rPr>
              <w:t>区</w:t>
            </w:r>
          </w:p>
        </w:tc>
        <w:tc>
          <w:tcPr>
            <w:tcW w:w="1701" w:type="dxa"/>
            <w:vAlign w:val="center"/>
          </w:tcPr>
          <w:p w14:paraId="23B4178E">
            <w:pPr>
              <w:ind w:firstLine="0" w:firstLineChars="0"/>
              <w:jc w:val="center"/>
            </w:pPr>
            <w:r>
              <w:t>34.65</w:t>
            </w:r>
          </w:p>
        </w:tc>
      </w:tr>
    </w:tbl>
    <w:p w14:paraId="44FD9DB9">
      <w:pPr>
        <w:ind w:firstLine="480"/>
      </w:pPr>
      <w:r>
        <w:rPr>
          <w:rFonts w:hint="eastAsia"/>
        </w:rPr>
        <w:t>目前，区内由于城市的总体规划原因等，在区内可以开展地热资源的勘查工作。</w:t>
      </w:r>
    </w:p>
    <w:p w14:paraId="7D988837">
      <w:pPr>
        <w:pStyle w:val="3"/>
        <w:spacing w:before="156" w:after="156"/>
      </w:pPr>
      <w:bookmarkStart w:id="12" w:name="_Toc508698462"/>
      <w:r>
        <w:rPr>
          <w:rFonts w:hint="eastAsia"/>
        </w:rPr>
        <w:t>第二节</w:t>
      </w:r>
      <w:r>
        <w:t xml:space="preserve">  </w:t>
      </w:r>
      <w:r>
        <w:rPr>
          <w:rFonts w:hint="eastAsia"/>
        </w:rPr>
        <w:t>矿产资源产业重点发展区域</w:t>
      </w:r>
      <w:bookmarkEnd w:id="12"/>
    </w:p>
    <w:p w14:paraId="6F1B72DF">
      <w:pPr>
        <w:ind w:firstLine="480"/>
      </w:pPr>
      <w:r>
        <w:rPr>
          <w:rFonts w:hint="eastAsia"/>
        </w:rPr>
        <w:t>落实国家、省区域、贵安新区直管区发展战略和主体功能区战略，构建区域资源互补、勘查开发定位清晰、资源环境协调发展的空间格局，推进矿产开发与环境保护相协调，优化选择资源条件好、环境承载力高的地区，加强勘查开发，加快矿业与环境的协同发展。矿产资源主要为地热水、浅层地温能资源的开发和砂石矿的开发利用。</w:t>
      </w:r>
    </w:p>
    <w:p w14:paraId="44332F0C">
      <w:pPr>
        <w:ind w:firstLine="480"/>
      </w:pPr>
      <w:r>
        <w:t>1</w:t>
      </w:r>
      <w:r>
        <w:rPr>
          <w:rFonts w:hint="eastAsia"/>
        </w:rPr>
        <w:t>、根据贵安新区直管区内的资源分布情况及结合贵安新区直管区的发展战略等。根据全省打造“地热温泉省”，大力发展“温泉经济”的战略，积极推进直管区高峰镇东吹一带、马场镇一带的地热水资源勘查工作，形成以旅游</w:t>
      </w:r>
      <w:r>
        <w:t>—</w:t>
      </w:r>
      <w:r>
        <w:rPr>
          <w:rFonts w:hint="eastAsia"/>
        </w:rPr>
        <w:t>养生</w:t>
      </w:r>
      <w:r>
        <w:t>—</w:t>
      </w:r>
      <w:r>
        <w:rPr>
          <w:rFonts w:hint="eastAsia"/>
        </w:rPr>
        <w:t>温泉养殖等一体化的产业。</w:t>
      </w:r>
    </w:p>
    <w:p w14:paraId="02DB7986">
      <w:pPr>
        <w:ind w:firstLine="480"/>
      </w:pPr>
      <w:r>
        <w:t>2</w:t>
      </w:r>
      <w:r>
        <w:rPr>
          <w:rFonts w:hint="eastAsia"/>
        </w:rPr>
        <w:t>、根据区内砂石矿资源的分布特点，并根据贵安新区直管区对砂石矿资源的需求，积极推进环境承载能力较高的马场镇马路村一带砂石矿资源的勘查开发，积极推进砂石矿资源的开发规模化、集约化和规范化，实现资源开发和环境保护共赢。</w:t>
      </w:r>
    </w:p>
    <w:p w14:paraId="66F3503B">
      <w:pPr>
        <w:ind w:firstLine="480"/>
      </w:pPr>
      <w:r>
        <w:t>3</w:t>
      </w:r>
      <w:r>
        <w:rPr>
          <w:rFonts w:hint="eastAsia"/>
        </w:rPr>
        <w:t>、根据贵安新区直管区内的资源分布情况及结合贵州省矿产资源规划（</w:t>
      </w:r>
      <w:r>
        <w:t>2006-2020</w:t>
      </w:r>
      <w:r>
        <w:rPr>
          <w:rFonts w:hint="eastAsia"/>
        </w:rPr>
        <w:t>年），积极开展贵安新区浅层地温能资源的调查工作，为将来区内马场科技新城、贵安新城对浅层地温能资源的利用提供基础，实现绿色、健康新源量矿产开发的需求。</w:t>
      </w:r>
    </w:p>
    <w:p w14:paraId="4FE7EEC2">
      <w:pPr>
        <w:ind w:firstLine="480"/>
      </w:pPr>
      <w:r>
        <w:t>4</w:t>
      </w:r>
      <w:r>
        <w:rPr>
          <w:rFonts w:hint="eastAsia"/>
        </w:rPr>
        <w:t>、在区内开展</w:t>
      </w:r>
      <w:r>
        <w:t>1:5</w:t>
      </w:r>
      <w:r>
        <w:rPr>
          <w:rFonts w:hint="eastAsia"/>
        </w:rPr>
        <w:t>万土地质量地球化学调查评价工作，为区内发展天然绿色农产品提供保障。</w:t>
      </w:r>
    </w:p>
    <w:p w14:paraId="045E4E48">
      <w:pPr>
        <w:pStyle w:val="3"/>
        <w:spacing w:before="156" w:after="156"/>
      </w:pPr>
      <w:bookmarkStart w:id="13" w:name="_Toc508698463"/>
      <w:r>
        <w:rPr>
          <w:rFonts w:hint="eastAsia"/>
        </w:rPr>
        <w:t>第三节</w:t>
      </w:r>
      <w:r>
        <w:t xml:space="preserve">  </w:t>
      </w:r>
      <w:r>
        <w:rPr>
          <w:rFonts w:hint="eastAsia"/>
        </w:rPr>
        <w:t>矿业布局优化调整</w:t>
      </w:r>
      <w:bookmarkEnd w:id="13"/>
    </w:p>
    <w:p w14:paraId="34F5FA82">
      <w:pPr>
        <w:ind w:firstLine="480"/>
      </w:pPr>
      <w:r>
        <w:rPr>
          <w:rFonts w:hint="eastAsia"/>
        </w:rPr>
        <w:t>为了便于贵安新区直管区内矿业结构调整与优化，根据直管区矿产资源分布状况及矿产资源开发利用与保护规划布局，结合直管区的社会经济发展的现状，不断推进全区矿业结构的优化。</w:t>
      </w:r>
    </w:p>
    <w:p w14:paraId="13D6E5CD">
      <w:pPr>
        <w:ind w:firstLine="482"/>
        <w:rPr>
          <w:b/>
        </w:rPr>
      </w:pPr>
      <w:r>
        <w:rPr>
          <w:rFonts w:hint="eastAsia"/>
          <w:b/>
        </w:rPr>
        <w:t>一、地热资源</w:t>
      </w:r>
    </w:p>
    <w:p w14:paraId="1216958D">
      <w:pPr>
        <w:ind w:firstLine="482"/>
        <w:rPr>
          <w:b/>
        </w:rPr>
      </w:pPr>
      <w:r>
        <w:rPr>
          <w:rFonts w:hint="eastAsia"/>
          <w:b/>
        </w:rPr>
        <w:t>（一）地热资源的相关发展政策</w:t>
      </w:r>
    </w:p>
    <w:p w14:paraId="46195135">
      <w:pPr>
        <w:ind w:firstLine="480"/>
      </w:pPr>
      <w:r>
        <w:rPr>
          <w:rFonts w:hint="eastAsia"/>
        </w:rPr>
        <w:t>结合温泉资源现状以及相关规划，从新区自然生态资源、历史文化赋存、经济发展基础、城乡建设格局等领域出发，以构建温泉旅游度假区为主，综合开发地热资源。以温泉为载体，将各种时尚休闲的理念融入旅游中，通过对温泉旅游文化内涵的深度挖掘，赋予温泉旅游产品、服务更多的内涵和价值，使游客在享受服务的同时，能更多地享受精神的愉悦和文化的熏陶。</w:t>
      </w:r>
    </w:p>
    <w:p w14:paraId="7CA4A3D5">
      <w:pPr>
        <w:ind w:firstLine="480"/>
      </w:pPr>
      <w:r>
        <w:rPr>
          <w:rFonts w:hint="eastAsia"/>
        </w:rPr>
        <w:t>（</w:t>
      </w:r>
      <w:r>
        <w:t>1</w:t>
      </w:r>
      <w:r>
        <w:rPr>
          <w:rFonts w:hint="eastAsia"/>
        </w:rPr>
        <w:t>）温泉休闲旅游</w:t>
      </w:r>
    </w:p>
    <w:p w14:paraId="66F15947">
      <w:pPr>
        <w:ind w:firstLine="480"/>
      </w:pPr>
      <w:r>
        <w:rPr>
          <w:rFonts w:hint="eastAsia"/>
        </w:rPr>
        <w:t>结合新区建设“</w:t>
      </w:r>
      <w:r>
        <w:rPr>
          <w:rFonts w:hint="eastAsia" w:cs="Calibri"/>
          <w:b/>
          <w:i/>
        </w:rPr>
        <w:t>山水之城、田园之都</w:t>
      </w:r>
      <w:r>
        <w:rPr>
          <w:rFonts w:hint="eastAsia"/>
        </w:rPr>
        <w:t>”国际化新城区的发展目标，以服务旅游休闲产业为重点，发展温泉旅游是目前主要的开发方式。</w:t>
      </w:r>
    </w:p>
    <w:p w14:paraId="759405F7">
      <w:pPr>
        <w:ind w:firstLine="480"/>
      </w:pPr>
      <w:r>
        <w:t>——</w:t>
      </w:r>
      <w:r>
        <w:rPr>
          <w:rFonts w:hint="eastAsia"/>
          <w:b/>
        </w:rPr>
        <w:t>温泉与生态景观相结合。</w:t>
      </w:r>
      <w:r>
        <w:rPr>
          <w:rFonts w:hint="eastAsia"/>
        </w:rPr>
        <w:t>良好的生态环境，浓郁的民族风情，蕴含着得天独厚的旅游资源，是中国最好的黄金旅游线路上的重要一环；这里青山绿水养眼，蓝天净土清肺，民族文化润心，是理想的国际休闲旅游栖憩地；这里正描画着“青山绿水抱林盘，大城小镇嵌田园”的山水田园城市的和谐空间布局，一座“山水之城，田园之都”正呼之欲出。</w:t>
      </w:r>
    </w:p>
    <w:p w14:paraId="2D1F10B4">
      <w:pPr>
        <w:ind w:firstLine="480"/>
        <w:rPr>
          <w:rFonts w:ascii="宋体"/>
        </w:rPr>
      </w:pPr>
      <w:r>
        <w:t>——</w:t>
      </w:r>
      <w:r>
        <w:rPr>
          <w:rFonts w:hint="eastAsia"/>
          <w:b/>
        </w:rPr>
        <w:t>温泉与文化旅游相结合。</w:t>
      </w:r>
      <w:r>
        <w:rPr>
          <w:rFonts w:hint="eastAsia"/>
        </w:rPr>
        <w:t>感悟温泉沐浴文化为主题，将温泉疗养单一的物质享受提升到符合现代消费的文化和精神层面，使其成为一种以健康为主题，达到养生和休闲效果的时尚旅游。可以提倡风格不一的泡浴模式，展示不同的温泉沐浴文化；可以将</w:t>
      </w:r>
      <w:r>
        <w:rPr>
          <w:rFonts w:hint="eastAsia" w:ascii="宋体" w:hAnsi="宋体"/>
        </w:rPr>
        <w:t>马场镇布依族“六月六”节</w:t>
      </w:r>
      <w:r>
        <w:rPr>
          <w:rFonts w:ascii="宋体" w:hAnsi="宋体"/>
        </w:rPr>
        <w:t xml:space="preserve"> (</w:t>
      </w:r>
      <w:r>
        <w:rPr>
          <w:rFonts w:hint="eastAsia" w:ascii="宋体" w:hAnsi="宋体"/>
        </w:rPr>
        <w:t>赛歌、对酒歌等</w:t>
      </w:r>
      <w:r>
        <w:rPr>
          <w:rFonts w:ascii="宋体" w:hAnsi="宋体"/>
        </w:rPr>
        <w:t>)</w:t>
      </w:r>
      <w:r>
        <w:rPr>
          <w:rFonts w:hint="eastAsia" w:ascii="宋体" w:hAnsi="宋体"/>
        </w:rPr>
        <w:t>、高峰镇区仡佬族吃新节及打蔑鸡蛋、唱山歌、跳采茶舞等活动、湖潮乡磊庄、党武乡果落多等地苗族跳硐</w:t>
      </w:r>
      <w:r>
        <w:rPr>
          <w:rFonts w:ascii="宋体" w:hAnsi="宋体"/>
        </w:rPr>
        <w:t>(</w:t>
      </w:r>
      <w:r>
        <w:rPr>
          <w:rFonts w:hint="eastAsia" w:ascii="宋体" w:hAnsi="宋体"/>
        </w:rPr>
        <w:t>吹芦笋，跳舞</w:t>
      </w:r>
      <w:r>
        <w:rPr>
          <w:rFonts w:ascii="宋体" w:hAnsi="宋体"/>
        </w:rPr>
        <w:t xml:space="preserve">) </w:t>
      </w:r>
      <w:r>
        <w:rPr>
          <w:rFonts w:hint="eastAsia" w:ascii="宋体" w:hAnsi="宋体"/>
        </w:rPr>
        <w:t>、玩场</w:t>
      </w:r>
      <w:r>
        <w:rPr>
          <w:rFonts w:ascii="宋体" w:hAnsi="宋体"/>
        </w:rPr>
        <w:t>(</w:t>
      </w:r>
      <w:r>
        <w:rPr>
          <w:rFonts w:hint="eastAsia" w:ascii="宋体" w:hAnsi="宋体"/>
        </w:rPr>
        <w:t>吹箫、唱山歌</w:t>
      </w:r>
      <w:r>
        <w:rPr>
          <w:rFonts w:ascii="宋体" w:hAnsi="宋体"/>
        </w:rPr>
        <w:t>)</w:t>
      </w:r>
      <w:r>
        <w:rPr>
          <w:rFonts w:hint="eastAsia" w:ascii="宋体" w:hAnsi="宋体"/>
        </w:rPr>
        <w:t>、跳地戏</w:t>
      </w:r>
      <w:r>
        <w:rPr>
          <w:rFonts w:ascii="宋体" w:hAnsi="宋体"/>
        </w:rPr>
        <w:t>(</w:t>
      </w:r>
      <w:r>
        <w:rPr>
          <w:rFonts w:hint="eastAsia" w:ascii="宋体" w:hAnsi="宋体"/>
        </w:rPr>
        <w:t>演唱民族地方戏</w:t>
      </w:r>
      <w:r>
        <w:rPr>
          <w:rFonts w:ascii="宋体" w:hAnsi="宋体"/>
        </w:rPr>
        <w:t>)</w:t>
      </w:r>
      <w:r>
        <w:rPr>
          <w:rFonts w:hint="eastAsia" w:ascii="宋体" w:hAnsi="宋体"/>
        </w:rPr>
        <w:t>等活动融入其中，打造别具特色的温泉开发模式。</w:t>
      </w:r>
    </w:p>
    <w:p w14:paraId="2F380BE4">
      <w:pPr>
        <w:ind w:firstLine="480"/>
        <w:rPr>
          <w:rFonts w:ascii="宋体"/>
        </w:rPr>
      </w:pPr>
      <w:r>
        <w:rPr>
          <w:rFonts w:ascii="宋体" w:hAnsi="宋体"/>
        </w:rPr>
        <w:t>——</w:t>
      </w:r>
      <w:r>
        <w:rPr>
          <w:rFonts w:hint="eastAsia"/>
          <w:b/>
        </w:rPr>
        <w:t>温泉与养生文化相结合。</w:t>
      </w:r>
      <w:r>
        <w:rPr>
          <w:rFonts w:hint="eastAsia" w:ascii="宋体" w:hAnsi="宋体"/>
        </w:rPr>
        <w:t>自古以来，温泉是作为一种对人体健康具有特殊疗效的神奇之水而备受青睐的，许多医学古籍和文学作品中对此多有记载和赞美。健康养生文化是中国温泉旅游文化的核心。虽然温泉旅游已经跨过了传统温泉疗养的阶段，其内涵日渐丰富，但在中国悠久的温泉历史中，温泉养生这一文化核心是绝对不能抛弃的。目前，温泉旅游项目的主要产品仍然要抓住健康养生，在此基础上将健康养生文化融入温泉旅游产品和服务中，力求带给旅游者独特的以温泉为载体的养生文化感悟。</w:t>
      </w:r>
    </w:p>
    <w:p w14:paraId="5BF0C32D">
      <w:pPr>
        <w:ind w:firstLine="480"/>
      </w:pPr>
      <w:r>
        <w:rPr>
          <w:rFonts w:hint="eastAsia"/>
        </w:rPr>
        <w:t>（</w:t>
      </w:r>
      <w:r>
        <w:t>2</w:t>
      </w:r>
      <w:r>
        <w:rPr>
          <w:rFonts w:hint="eastAsia"/>
        </w:rPr>
        <w:t>）发展地热农业观光</w:t>
      </w:r>
    </w:p>
    <w:p w14:paraId="3E6B35CF">
      <w:pPr>
        <w:ind w:firstLine="480"/>
        <w:rPr>
          <w:rFonts w:ascii="宋体"/>
        </w:rPr>
      </w:pPr>
      <w:r>
        <w:rPr>
          <w:rFonts w:hint="eastAsia" w:ascii="宋体" w:hAnsi="宋体"/>
        </w:rPr>
        <w:t>可以依托</w:t>
      </w:r>
      <w:r>
        <w:fldChar w:fldCharType="begin"/>
      </w:r>
      <w:r>
        <w:instrText xml:space="preserve"> HYPERLINK "http://baike.baidu.com/item/%E5%9C%B0%E7%83%AD%E4%BA%95/6216646" \t "_blank" </w:instrText>
      </w:r>
      <w:r>
        <w:fldChar w:fldCharType="separate"/>
      </w:r>
      <w:r>
        <w:rPr>
          <w:rFonts w:hint="eastAsia" w:ascii="宋体" w:hAnsi="宋体"/>
        </w:rPr>
        <w:t>地热井</w:t>
      </w:r>
      <w:r>
        <w:rPr>
          <w:rFonts w:hint="eastAsia" w:ascii="宋体" w:hAnsi="宋体"/>
        </w:rPr>
        <w:fldChar w:fldCharType="end"/>
      </w:r>
      <w:r>
        <w:rPr>
          <w:rFonts w:hint="eastAsia" w:ascii="宋体" w:hAnsi="宋体"/>
        </w:rPr>
        <w:t>，建造温泉温室，种植名优花卉、特种蔬菜（供给大的饭店、宾馆、酒楼之需）等，也可以用来发展旅游农业。热水养殖可以大大缩短多种水生物的孵化期和生长周期。可以依托地热资源发展高产鱼类养殖业等养殖产业。</w:t>
      </w:r>
    </w:p>
    <w:p w14:paraId="7C79820A">
      <w:pPr>
        <w:ind w:firstLine="480"/>
        <w:rPr>
          <w:rFonts w:ascii="宋体"/>
        </w:rPr>
      </w:pPr>
      <w:r>
        <w:rPr>
          <w:rFonts w:hint="eastAsia"/>
        </w:rPr>
        <w:t>目前，新区的地热资源在农业中的应用，应充分考虑和现代观光农业、新农村（精准扶贫）建设的结合，建设一批地热温室大棚及配套设施，种植以热带作物为主的水果、花卉、蔬菜，养殖高档鱼类，满足游客观光、品尝、采摘、垂钓和购买。</w:t>
      </w:r>
    </w:p>
    <w:p w14:paraId="4E159EB6">
      <w:pPr>
        <w:ind w:firstLine="480"/>
      </w:pPr>
      <w:r>
        <w:rPr>
          <w:rFonts w:hint="eastAsia"/>
        </w:rPr>
        <w:t>（</w:t>
      </w:r>
      <w:r>
        <w:t>3</w:t>
      </w:r>
      <w:r>
        <w:rPr>
          <w:rFonts w:hint="eastAsia"/>
        </w:rPr>
        <w:t>）城区供暖、供水项目</w:t>
      </w:r>
    </w:p>
    <w:p w14:paraId="30A4D4F9">
      <w:pPr>
        <w:ind w:firstLine="480"/>
      </w:pPr>
      <w:r>
        <w:rPr>
          <w:rFonts w:hint="eastAsia"/>
        </w:rPr>
        <w:t>以市场化方式向高端楼盘提供地热水资源，供居民日常洗浴或采暖。</w:t>
      </w:r>
    </w:p>
    <w:p w14:paraId="648B3514">
      <w:pPr>
        <w:ind w:firstLine="480"/>
      </w:pPr>
      <w:r>
        <w:rPr>
          <w:rFonts w:hint="eastAsia"/>
        </w:rPr>
        <w:t>发展地源热泵（浅层地温）技术，应用于宾馆、商场、办公楼、学校等建筑的采暖、空调，还可提供生活热水。</w:t>
      </w:r>
    </w:p>
    <w:p w14:paraId="5CB9229E">
      <w:pPr>
        <w:ind w:firstLine="482"/>
        <w:rPr>
          <w:b/>
        </w:rPr>
      </w:pPr>
      <w:r>
        <w:rPr>
          <w:rFonts w:hint="eastAsia"/>
          <w:b/>
        </w:rPr>
        <w:t>（二）地热资源的合理利用</w:t>
      </w:r>
    </w:p>
    <w:p w14:paraId="10E753AC">
      <w:pPr>
        <w:ind w:firstLine="480"/>
      </w:pPr>
      <w:r>
        <w:rPr>
          <w:rFonts w:hint="eastAsia"/>
        </w:rPr>
        <w:t>地热资源的合理开发与有效利用应体现一下原则：</w:t>
      </w:r>
    </w:p>
    <w:p w14:paraId="3AB1BBB4">
      <w:pPr>
        <w:ind w:firstLine="480"/>
      </w:pPr>
      <w:r>
        <w:rPr>
          <w:rFonts w:hint="eastAsia"/>
        </w:rPr>
        <w:t>（</w:t>
      </w:r>
      <w:r>
        <w:t>1</w:t>
      </w:r>
      <w:r>
        <w:rPr>
          <w:rFonts w:hint="eastAsia"/>
        </w:rPr>
        <w:t>）合理布局原则</w:t>
      </w:r>
    </w:p>
    <w:p w14:paraId="595F0FA1">
      <w:pPr>
        <w:ind w:firstLine="480"/>
      </w:pPr>
      <w:r>
        <w:rPr>
          <w:rFonts w:hint="eastAsia"/>
        </w:rPr>
        <w:t>地热资源是有限的，要确保地热资源的永续利用，确保水质、水温、水量都长期保持稳定，首先确保地热资源开发布局合理，并与旅游、交通、城镇规划相协调。</w:t>
      </w:r>
    </w:p>
    <w:p w14:paraId="65B7E125">
      <w:pPr>
        <w:ind w:firstLine="480"/>
      </w:pPr>
      <w:r>
        <w:rPr>
          <w:rFonts w:hint="eastAsia"/>
        </w:rPr>
        <w:t>（</w:t>
      </w:r>
      <w:r>
        <w:t>2</w:t>
      </w:r>
      <w:r>
        <w:rPr>
          <w:rFonts w:hint="eastAsia"/>
        </w:rPr>
        <w:t>）合理开采原则</w:t>
      </w:r>
    </w:p>
    <w:p w14:paraId="09E62480">
      <w:pPr>
        <w:ind w:firstLine="480"/>
      </w:pPr>
      <w:r>
        <w:rPr>
          <w:rFonts w:hint="eastAsia"/>
        </w:rPr>
        <w:t>地热水资源的抽取量，必须按照国土资源部门批准的开采水量取水，长期过量开采会导致地下热水水位下降，水量减少。</w:t>
      </w:r>
    </w:p>
    <w:p w14:paraId="053754D0">
      <w:pPr>
        <w:ind w:firstLine="480"/>
      </w:pPr>
      <w:r>
        <w:rPr>
          <w:rFonts w:hint="eastAsia"/>
        </w:rPr>
        <w:t>（</w:t>
      </w:r>
      <w:r>
        <w:t>3</w:t>
      </w:r>
      <w:r>
        <w:rPr>
          <w:rFonts w:hint="eastAsia"/>
        </w:rPr>
        <w:t>）梯级利用原则</w:t>
      </w:r>
    </w:p>
    <w:p w14:paraId="6E471F23">
      <w:pPr>
        <w:ind w:firstLine="480"/>
      </w:pPr>
      <w:r>
        <w:rPr>
          <w:rFonts w:hint="eastAsia"/>
        </w:rPr>
        <w:t>地热水资源开发必须实现水质、水温的梯级利用，根据水温的差异，实行从高温到地温梯级利用；水质的梯级利用应根据水质的功能划分进行充分利用，并使水的回用率达到</w:t>
      </w:r>
      <w:r>
        <w:t>80%</w:t>
      </w:r>
      <w:r>
        <w:rPr>
          <w:rFonts w:hint="eastAsia"/>
        </w:rPr>
        <w:t>以上，建立健全地热水节能、节水措施，完善用水设施，最终应实现零排放。</w:t>
      </w:r>
    </w:p>
    <w:p w14:paraId="575DAAEB">
      <w:pPr>
        <w:ind w:firstLine="480"/>
      </w:pPr>
      <w:r>
        <w:rPr>
          <w:rFonts w:hint="eastAsia"/>
        </w:rPr>
        <w:t>（</w:t>
      </w:r>
      <w:r>
        <w:t>4</w:t>
      </w:r>
      <w:r>
        <w:rPr>
          <w:rFonts w:hint="eastAsia"/>
        </w:rPr>
        <w:t>）开发与保护并重原则</w:t>
      </w:r>
    </w:p>
    <w:p w14:paraId="62BD8215">
      <w:pPr>
        <w:ind w:firstLine="480"/>
      </w:pPr>
      <w:r>
        <w:rPr>
          <w:rFonts w:hint="eastAsia"/>
        </w:rPr>
        <w:t>地热资源开发应坚持旅游开发与生态环境保护并重，做到同步规划、同步设计、同步施工、同步运行。</w:t>
      </w:r>
    </w:p>
    <w:p w14:paraId="591CDEAA">
      <w:pPr>
        <w:ind w:firstLine="482"/>
        <w:rPr>
          <w:b/>
        </w:rPr>
      </w:pPr>
      <w:r>
        <w:rPr>
          <w:rFonts w:hint="eastAsia"/>
          <w:b/>
        </w:rPr>
        <w:t>（三）地热资源的保护、管理及监测</w:t>
      </w:r>
    </w:p>
    <w:p w14:paraId="53103F08">
      <w:pPr>
        <w:ind w:firstLine="480"/>
        <w:rPr>
          <w:szCs w:val="30"/>
        </w:rPr>
      </w:pPr>
      <w:r>
        <w:rPr>
          <w:rFonts w:hint="eastAsia"/>
        </w:rPr>
        <w:t>地热资源的开发与管理要坚持统一规划、合理布局、总量控制、计划开采、综合利用、高效节能、合理配置、持续发展。</w:t>
      </w:r>
    </w:p>
    <w:p w14:paraId="2AB24F14">
      <w:pPr>
        <w:ind w:firstLine="480"/>
        <w:rPr>
          <w:szCs w:val="30"/>
        </w:rPr>
      </w:pPr>
      <w:r>
        <w:rPr>
          <w:rFonts w:hint="eastAsia"/>
          <w:szCs w:val="30"/>
        </w:rPr>
        <w:t>严格市场准入制度，根据拟设项目对地热资源的需求特点（水温、水量）和地热资源开发利用规划，合理确定地热井井位和可采限额。合理进行地热开发企业布局和搭配，利用市场机制实现资源不同企业之间的流动和优化配置，为地热资源的梯级开发和综合利用提供良好的外部环境。</w:t>
      </w:r>
    </w:p>
    <w:p w14:paraId="4224659C">
      <w:pPr>
        <w:ind w:firstLine="480"/>
        <w:rPr>
          <w:szCs w:val="30"/>
        </w:rPr>
      </w:pPr>
      <w:r>
        <w:rPr>
          <w:szCs w:val="30"/>
        </w:rPr>
        <w:t>1</w:t>
      </w:r>
      <w:r>
        <w:rPr>
          <w:rFonts w:hint="eastAsia"/>
          <w:szCs w:val="30"/>
        </w:rPr>
        <w:t>、加强地热井的保护，建立三级保护区制度</w:t>
      </w:r>
    </w:p>
    <w:p w14:paraId="7C2C9EC5">
      <w:pPr>
        <w:ind w:firstLine="480"/>
        <w:rPr>
          <w:szCs w:val="30"/>
        </w:rPr>
      </w:pPr>
      <w:r>
        <w:rPr>
          <w:rFonts w:hint="eastAsia"/>
          <w:szCs w:val="30"/>
        </w:rPr>
        <w:t>设立地热水开发利用保护区，按影响半径公式计算开采影响半径，再考虑可能的井间干扰，适当增大一定的距离，确定为其开采的合理井距及其权益保护范围。</w:t>
      </w:r>
    </w:p>
    <w:p w14:paraId="0CC88785">
      <w:pPr>
        <w:ind w:firstLine="480"/>
        <w:rPr>
          <w:szCs w:val="30"/>
        </w:rPr>
      </w:pPr>
      <w:r>
        <w:rPr>
          <w:rFonts w:hint="eastAsia"/>
          <w:szCs w:val="30"/>
        </w:rPr>
        <w:t>在保护区内只能建设备用井，禁止建设新的开采井，防止地下水水位的下降，保证地热水长期稳定的开采利用，禁止掠夺性的开采。保护区内要防止新的重大污染源形成，不得引进建设污染严重的项目，防止地下水污染，保护温泉水质。</w:t>
      </w:r>
    </w:p>
    <w:p w14:paraId="47707790">
      <w:pPr>
        <w:ind w:firstLine="480"/>
      </w:pPr>
      <w:r>
        <w:t>2</w:t>
      </w:r>
      <w:r>
        <w:rPr>
          <w:rFonts w:hint="eastAsia"/>
        </w:rPr>
        <w:t>、建立地热资源动态监测网络，确定开采强度控制条件</w:t>
      </w:r>
    </w:p>
    <w:p w14:paraId="77B68F7D">
      <w:pPr>
        <w:ind w:firstLine="480"/>
      </w:pPr>
      <w:r>
        <w:rPr>
          <w:rFonts w:hint="eastAsia"/>
        </w:rPr>
        <w:t>动态数据是管理与开发中对资源最直接、最直观的趋势反映。为地热井和地下水开采井安装自动监测系统，逐步建立地热井自动监测网络，</w:t>
      </w:r>
      <w:r>
        <w:rPr>
          <w:rFonts w:hint="eastAsia"/>
          <w:color w:val="000000"/>
          <w:shd w:val="clear" w:color="auto" w:fill="FFFFFF"/>
        </w:rPr>
        <w:t>采取动态监测“双轨制”即传统的人工方法和自动化监测设施同时使用。避免由于自动监测设施技术方面的不稳定而丢失原始数据。通过双轨制的平行运行，在自动化系统稳定条件下，再实施自动化监测。在自动化监测系统稳定性及维护周期有了确切结果条件下，全面建立网络化自动化监测系统，人工方法转为重点检查、补测、维护位置。近期对动态监测现布局，进行调整，满足平面均匀分布，纵向各热储兼顾的要求。</w:t>
      </w:r>
    </w:p>
    <w:p w14:paraId="18CC4B47">
      <w:pPr>
        <w:ind w:firstLine="480"/>
        <w:rPr>
          <w:color w:val="000000"/>
          <w:shd w:val="clear" w:color="auto" w:fill="FFFFFF"/>
        </w:rPr>
      </w:pPr>
      <w:r>
        <w:rPr>
          <w:color w:val="000000"/>
          <w:shd w:val="clear" w:color="auto" w:fill="FFFFFF"/>
        </w:rPr>
        <w:t>3</w:t>
      </w:r>
      <w:r>
        <w:rPr>
          <w:rFonts w:hint="eastAsia"/>
          <w:color w:val="000000"/>
          <w:shd w:val="clear" w:color="auto" w:fill="FFFFFF"/>
        </w:rPr>
        <w:t>、推广应用先进的地热利用技术和工艺设备</w:t>
      </w:r>
    </w:p>
    <w:p w14:paraId="18851F75">
      <w:pPr>
        <w:ind w:firstLine="480"/>
      </w:pPr>
      <w:r>
        <w:rPr>
          <w:rFonts w:hint="eastAsia"/>
        </w:rPr>
        <w:t>在允许开采量的范围内进行开发，在利用上要采用新技术新方法，提高资源利用率，提高利用水平，实现经济效益、资源效益、环境效益的统一。</w:t>
      </w:r>
    </w:p>
    <w:p w14:paraId="21BB084E">
      <w:pPr>
        <w:ind w:firstLine="480"/>
      </w:pPr>
      <w:r>
        <w:rPr>
          <w:rFonts w:hint="eastAsia"/>
        </w:rPr>
        <w:t>利用地热资源上要：采用先进技术，提高资源利用率，提高利用水平；改进工艺技术，优化系统参数；合理使用新材料，优材优用，物尽其用；加强管理，杜绝浪费；做好综合利用和后延开发工作提高地热资源用途和附加值；调整产业结构，控制能耗高的利用方式。</w:t>
      </w:r>
    </w:p>
    <w:p w14:paraId="299529B9">
      <w:pPr>
        <w:ind w:firstLine="480"/>
      </w:pPr>
      <w:r>
        <w:t>4</w:t>
      </w:r>
      <w:r>
        <w:rPr>
          <w:rFonts w:hint="eastAsia"/>
        </w:rPr>
        <w:t>、加强地热资源监督管理</w:t>
      </w:r>
    </w:p>
    <w:p w14:paraId="160B7499">
      <w:pPr>
        <w:ind w:firstLine="480"/>
        <w:rPr>
          <w:szCs w:val="30"/>
        </w:rPr>
      </w:pPr>
      <w:r>
        <w:rPr>
          <w:rFonts w:hint="eastAsia"/>
          <w:szCs w:val="30"/>
        </w:rPr>
        <w:t>依照我国《矿产资源法》，国务院第</w:t>
      </w:r>
      <w:r>
        <w:rPr>
          <w:szCs w:val="30"/>
        </w:rPr>
        <w:t>241</w:t>
      </w:r>
      <w:r>
        <w:rPr>
          <w:rFonts w:hint="eastAsia"/>
          <w:szCs w:val="30"/>
        </w:rPr>
        <w:t>号令“矿产资源开采登记管理办法”等有关规定，地热资源开发必须做到依法勘查、开发，严格准入条件。勘查、开发地热资源，必须取得勘查许可证、开采许可证，提交地热资源勘查、开发利用、土地复垦和矿山环境保护方案。</w:t>
      </w:r>
    </w:p>
    <w:p w14:paraId="561A1DB3">
      <w:pPr>
        <w:ind w:firstLine="480"/>
        <w:rPr>
          <w:szCs w:val="30"/>
        </w:rPr>
      </w:pPr>
      <w:r>
        <w:rPr>
          <w:rFonts w:hint="eastAsia"/>
          <w:szCs w:val="30"/>
        </w:rPr>
        <w:t>承担地热资源勘查设计和施工的单位，必须持有有关部门颁发的资格证书，并到国土资源部门办理登记备案手续。勘查地热资源的企业必须有足够的资金和技术人员，国土部门要严把准入关。</w:t>
      </w:r>
    </w:p>
    <w:p w14:paraId="7ECC4BE1">
      <w:pPr>
        <w:ind w:firstLine="482"/>
        <w:rPr>
          <w:b/>
        </w:rPr>
      </w:pPr>
      <w:r>
        <w:rPr>
          <w:rFonts w:hint="eastAsia"/>
          <w:b/>
        </w:rPr>
        <w:t>二、砂石矿资源</w:t>
      </w:r>
    </w:p>
    <w:p w14:paraId="28DBA94B">
      <w:pPr>
        <w:ind w:firstLine="480"/>
      </w:pPr>
      <w:r>
        <w:rPr>
          <w:rFonts w:hint="eastAsia"/>
        </w:rPr>
        <w:t>以资源为基础，以市场为导向依靠科技进步和制度创新，改变发展方式，调整产业结构。坚持规模化、集约化经营的原则，优化资源开发利用结构与产业布局，注重资源环境保护和资源节约利用，通过提升、改造与关闭，提高矿山规模化开采水平。</w:t>
      </w:r>
    </w:p>
    <w:p w14:paraId="3436C77E">
      <w:pPr>
        <w:ind w:firstLine="480"/>
      </w:pPr>
      <w:r>
        <w:rPr>
          <w:rFonts w:hint="eastAsia"/>
        </w:rPr>
        <w:t>加强矿山规模结构调整。砂石土新建矿山最低生产规模不得低于</w:t>
      </w:r>
      <w:r>
        <w:t>15</w:t>
      </w:r>
      <w:r>
        <w:rPr>
          <w:rFonts w:hint="eastAsia"/>
        </w:rPr>
        <w:t>万</w:t>
      </w:r>
      <w:r>
        <w:t>m</w:t>
      </w:r>
      <w:r>
        <w:rPr>
          <w:vertAlign w:val="superscript"/>
        </w:rPr>
        <w:t>3</w:t>
      </w:r>
      <w:r>
        <w:t>/</w:t>
      </w:r>
      <w:r>
        <w:rPr>
          <w:rFonts w:hint="eastAsia"/>
        </w:rPr>
        <w:t>年，现有矿山通过改、扩建，最迟于</w:t>
      </w:r>
      <w:r>
        <w:t>2020</w:t>
      </w:r>
      <w:r>
        <w:rPr>
          <w:rFonts w:hint="eastAsia"/>
        </w:rPr>
        <w:t>年底达到最低生产规模。</w:t>
      </w:r>
    </w:p>
    <w:p w14:paraId="45750DAB">
      <w:pPr>
        <w:ind w:firstLine="480"/>
      </w:pPr>
      <w:r>
        <w:rPr>
          <w:rFonts w:hint="eastAsia"/>
        </w:rPr>
        <w:t>提高矿山采掘与加工技术水平，引进新技术新方法，提高机械化能力，降低成本，增加企业效益。</w:t>
      </w:r>
    </w:p>
    <w:p w14:paraId="35B72A14">
      <w:pPr>
        <w:ind w:firstLine="480"/>
      </w:pPr>
      <w:r>
        <w:rPr>
          <w:rFonts w:hint="eastAsia"/>
        </w:rPr>
        <w:t>合理开发利用砂石矿资源。根据资源特点和贵安新区建设海绵城市的需要，合理加工成不同产品（透水砖等），做到资源的优质优用，提高经济效益。</w:t>
      </w:r>
    </w:p>
    <w:p w14:paraId="17043FBD">
      <w:pPr>
        <w:pStyle w:val="2"/>
      </w:pPr>
      <w:bookmarkStart w:id="14" w:name="_Toc508698464"/>
      <w:r>
        <w:rPr>
          <w:rFonts w:hint="eastAsia"/>
        </w:rPr>
        <w:t>第五章</w:t>
      </w:r>
      <w:r>
        <w:t xml:space="preserve">  </w:t>
      </w:r>
      <w:r>
        <w:rPr>
          <w:rFonts w:hint="eastAsia"/>
        </w:rPr>
        <w:t>严格规范砂石粘土</w:t>
      </w:r>
      <w:r>
        <w:t>/</w:t>
      </w:r>
      <w:r>
        <w:rPr>
          <w:rFonts w:hint="eastAsia"/>
        </w:rPr>
        <w:t>小型非金属矿产资源开发管理</w:t>
      </w:r>
      <w:bookmarkEnd w:id="14"/>
    </w:p>
    <w:p w14:paraId="165BD6A6">
      <w:pPr>
        <w:pStyle w:val="3"/>
        <w:spacing w:before="156" w:after="156"/>
      </w:pPr>
      <w:bookmarkStart w:id="15" w:name="_Toc508698465"/>
      <w:r>
        <w:rPr>
          <w:rFonts w:hint="eastAsia"/>
        </w:rPr>
        <w:t>第一节</w:t>
      </w:r>
      <w:r>
        <w:t xml:space="preserve">  </w:t>
      </w:r>
      <w:r>
        <w:rPr>
          <w:rFonts w:hint="eastAsia"/>
        </w:rPr>
        <w:t>合理调控开采总量</w:t>
      </w:r>
      <w:bookmarkEnd w:id="15"/>
    </w:p>
    <w:p w14:paraId="772C8825">
      <w:pPr>
        <w:ind w:firstLine="480"/>
        <w:rPr>
          <w:rFonts w:ascii="宋体"/>
          <w:szCs w:val="28"/>
        </w:rPr>
      </w:pPr>
      <w:r>
        <w:rPr>
          <w:rFonts w:hint="eastAsia"/>
        </w:rPr>
        <w:t>结合贵安新区直管区城镇化基础设施建设发展的需求和矿山产能情况，制定贵安新区直管区砂石矿的开采总量指标</w:t>
      </w:r>
      <w:r>
        <w:t>106</w:t>
      </w:r>
      <w:r>
        <w:rPr>
          <w:rFonts w:hint="eastAsia"/>
        </w:rPr>
        <w:t>万立方米，</w:t>
      </w:r>
      <w:r>
        <w:rPr>
          <w:rFonts w:hint="eastAsia" w:ascii="宋体" w:hAnsi="宋体"/>
          <w:szCs w:val="28"/>
        </w:rPr>
        <w:t>规划了</w:t>
      </w:r>
      <w:r>
        <w:rPr>
          <w:rFonts w:ascii="宋体" w:hAnsi="宋体"/>
          <w:szCs w:val="28"/>
        </w:rPr>
        <w:t>4</w:t>
      </w:r>
      <w:r>
        <w:rPr>
          <w:rFonts w:hint="eastAsia" w:ascii="宋体" w:hAnsi="宋体"/>
          <w:szCs w:val="28"/>
        </w:rPr>
        <w:t>个</w:t>
      </w:r>
      <w:r>
        <w:rPr>
          <w:rFonts w:hint="eastAsia"/>
        </w:rPr>
        <w:t>建筑用砂开采规划区</w:t>
      </w:r>
      <w:r>
        <w:rPr>
          <w:rFonts w:hint="eastAsia" w:ascii="宋体" w:hAnsi="宋体"/>
          <w:szCs w:val="28"/>
        </w:rPr>
        <w:t>。（专栏</w:t>
      </w:r>
      <w:r>
        <w:rPr>
          <w:rFonts w:ascii="宋体" w:hAnsi="宋体"/>
          <w:szCs w:val="28"/>
        </w:rPr>
        <w:t>8</w:t>
      </w:r>
      <w:r>
        <w:rPr>
          <w:rFonts w:hint="eastAsia" w:ascii="宋体" w:hAnsi="宋体"/>
          <w:szCs w:val="28"/>
        </w:rPr>
        <w:t>、附图</w:t>
      </w:r>
      <w:r>
        <w:rPr>
          <w:rFonts w:ascii="宋体" w:hAnsi="宋体"/>
          <w:szCs w:val="28"/>
        </w:rPr>
        <w:t>3</w:t>
      </w:r>
      <w:r>
        <w:rPr>
          <w:rFonts w:hint="eastAsia" w:ascii="宋体" w:hAnsi="宋体"/>
          <w:szCs w:val="28"/>
        </w:rPr>
        <w:t>）</w:t>
      </w:r>
    </w:p>
    <w:p w14:paraId="35F6C325">
      <w:pPr>
        <w:ind w:firstLine="480"/>
      </w:pPr>
    </w:p>
    <w:tbl>
      <w:tblPr>
        <w:tblStyle w:val="1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7938"/>
      </w:tblGrid>
      <w:tr w14:paraId="2CD75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gridSpan w:val="2"/>
            <w:vAlign w:val="center"/>
          </w:tcPr>
          <w:p w14:paraId="5CDB96B3">
            <w:pPr>
              <w:ind w:firstLine="0" w:firstLineChars="0"/>
              <w:jc w:val="center"/>
              <w:rPr>
                <w:b/>
              </w:rPr>
            </w:pPr>
            <w:r>
              <w:rPr>
                <w:rFonts w:hint="eastAsia"/>
                <w:b/>
              </w:rPr>
              <w:t>专栏</w:t>
            </w:r>
            <w:r>
              <w:rPr>
                <w:b/>
              </w:rPr>
              <w:t>8</w:t>
            </w:r>
            <w:r>
              <w:rPr>
                <w:rFonts w:hint="eastAsia"/>
                <w:b/>
              </w:rPr>
              <w:t>贵安新区直管区建筑用砂开采规划区</w:t>
            </w:r>
          </w:p>
        </w:tc>
      </w:tr>
      <w:tr w14:paraId="4E007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9103140">
            <w:pPr>
              <w:ind w:firstLine="0" w:firstLineChars="0"/>
              <w:jc w:val="center"/>
              <w:rPr>
                <w:b/>
              </w:rPr>
            </w:pPr>
            <w:r>
              <w:rPr>
                <w:rFonts w:hint="eastAsia"/>
                <w:b/>
              </w:rPr>
              <w:t>序号</w:t>
            </w:r>
          </w:p>
        </w:tc>
        <w:tc>
          <w:tcPr>
            <w:tcW w:w="7938" w:type="dxa"/>
            <w:vAlign w:val="center"/>
          </w:tcPr>
          <w:p w14:paraId="292832BC">
            <w:pPr>
              <w:ind w:firstLine="0" w:firstLineChars="0"/>
              <w:jc w:val="center"/>
              <w:rPr>
                <w:b/>
              </w:rPr>
            </w:pPr>
            <w:r>
              <w:rPr>
                <w:rFonts w:hint="eastAsia"/>
                <w:b/>
              </w:rPr>
              <w:t>开采规划区名称</w:t>
            </w:r>
          </w:p>
        </w:tc>
      </w:tr>
      <w:tr w14:paraId="7B352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596605E">
            <w:pPr>
              <w:pStyle w:val="6"/>
              <w:ind w:right="-175" w:firstLine="0"/>
              <w:jc w:val="center"/>
              <w:rPr>
                <w:rFonts w:ascii="宋体"/>
              </w:rPr>
            </w:pPr>
            <w:r>
              <w:rPr>
                <w:rFonts w:ascii="宋体" w:hAnsi="宋体"/>
              </w:rPr>
              <w:t>KC01</w:t>
            </w:r>
          </w:p>
        </w:tc>
        <w:tc>
          <w:tcPr>
            <w:tcW w:w="7938" w:type="dxa"/>
            <w:vAlign w:val="center"/>
          </w:tcPr>
          <w:p w14:paraId="3C2C3E22">
            <w:pPr>
              <w:ind w:firstLine="0" w:firstLineChars="0"/>
              <w:jc w:val="center"/>
            </w:pPr>
            <w:r>
              <w:rPr>
                <w:rFonts w:hint="eastAsia"/>
              </w:rPr>
              <w:t>白泥田建筑用砂开采规划区</w:t>
            </w:r>
          </w:p>
        </w:tc>
      </w:tr>
      <w:tr w14:paraId="3E54B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4C268A7">
            <w:pPr>
              <w:pStyle w:val="6"/>
              <w:spacing w:line="320" w:lineRule="exact"/>
              <w:ind w:right="-175" w:firstLine="0"/>
              <w:jc w:val="center"/>
              <w:rPr>
                <w:rFonts w:ascii="宋体"/>
              </w:rPr>
            </w:pPr>
            <w:r>
              <w:rPr>
                <w:rFonts w:ascii="宋体" w:hAnsi="宋体"/>
              </w:rPr>
              <w:t>KC02</w:t>
            </w:r>
          </w:p>
        </w:tc>
        <w:tc>
          <w:tcPr>
            <w:tcW w:w="7938" w:type="dxa"/>
            <w:vAlign w:val="center"/>
          </w:tcPr>
          <w:p w14:paraId="3B8B5DFF">
            <w:pPr>
              <w:ind w:firstLine="0" w:firstLineChars="0"/>
              <w:jc w:val="center"/>
            </w:pPr>
            <w:r>
              <w:rPr>
                <w:rFonts w:hint="eastAsia"/>
              </w:rPr>
              <w:t>鹅洞建筑用砂开采规划区</w:t>
            </w:r>
          </w:p>
        </w:tc>
      </w:tr>
      <w:tr w14:paraId="2D288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11DEA44">
            <w:pPr>
              <w:pStyle w:val="6"/>
              <w:spacing w:line="320" w:lineRule="exact"/>
              <w:ind w:right="-175" w:firstLine="0"/>
              <w:jc w:val="center"/>
              <w:rPr>
                <w:rFonts w:ascii="宋体"/>
              </w:rPr>
            </w:pPr>
            <w:r>
              <w:rPr>
                <w:rFonts w:ascii="宋体" w:hAnsi="宋体"/>
              </w:rPr>
              <w:t>KC03</w:t>
            </w:r>
          </w:p>
        </w:tc>
        <w:tc>
          <w:tcPr>
            <w:tcW w:w="7938" w:type="dxa"/>
            <w:vAlign w:val="center"/>
          </w:tcPr>
          <w:p w14:paraId="3F6DDF52">
            <w:pPr>
              <w:ind w:firstLine="0" w:firstLineChars="0"/>
              <w:jc w:val="center"/>
            </w:pPr>
            <w:r>
              <w:rPr>
                <w:rFonts w:hint="eastAsia"/>
              </w:rPr>
              <w:t>塔帽山建筑用砂开采规划区</w:t>
            </w:r>
          </w:p>
        </w:tc>
      </w:tr>
      <w:tr w14:paraId="003D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BE757AB">
            <w:pPr>
              <w:pStyle w:val="6"/>
              <w:spacing w:line="320" w:lineRule="exact"/>
              <w:ind w:right="-175" w:firstLine="0"/>
              <w:jc w:val="center"/>
              <w:rPr>
                <w:rFonts w:ascii="宋体"/>
              </w:rPr>
            </w:pPr>
            <w:r>
              <w:rPr>
                <w:rFonts w:ascii="宋体" w:hAnsi="宋体"/>
              </w:rPr>
              <w:t>KC04</w:t>
            </w:r>
          </w:p>
        </w:tc>
        <w:tc>
          <w:tcPr>
            <w:tcW w:w="7938" w:type="dxa"/>
            <w:vAlign w:val="center"/>
          </w:tcPr>
          <w:p w14:paraId="768FA37F">
            <w:pPr>
              <w:ind w:firstLine="0" w:firstLineChars="0"/>
              <w:jc w:val="center"/>
            </w:pPr>
            <w:r>
              <w:rPr>
                <w:rFonts w:hint="eastAsia"/>
              </w:rPr>
              <w:t>尖尖坡建筑用砂开采规划区</w:t>
            </w:r>
          </w:p>
        </w:tc>
      </w:tr>
    </w:tbl>
    <w:p w14:paraId="62B6EC50">
      <w:pPr>
        <w:ind w:firstLine="480"/>
        <w:rPr>
          <w:rFonts w:ascii="宋体"/>
          <w:szCs w:val="28"/>
        </w:rPr>
      </w:pPr>
      <w:r>
        <w:rPr>
          <w:rFonts w:hint="eastAsia" w:ascii="宋体" w:hAnsi="宋体"/>
          <w:szCs w:val="28"/>
        </w:rPr>
        <w:t>管理措施：</w:t>
      </w:r>
    </w:p>
    <w:p w14:paraId="77F06118">
      <w:pPr>
        <w:ind w:firstLine="480"/>
        <w:rPr>
          <w:rFonts w:ascii="宋体"/>
          <w:szCs w:val="28"/>
        </w:rPr>
      </w:pPr>
      <w:r>
        <w:rPr>
          <w:rFonts w:ascii="宋体" w:hAnsi="宋体"/>
          <w:szCs w:val="28"/>
        </w:rPr>
        <w:t>1</w:t>
      </w:r>
      <w:r>
        <w:rPr>
          <w:rFonts w:hint="eastAsia" w:ascii="宋体" w:hAnsi="宋体"/>
          <w:szCs w:val="28"/>
        </w:rPr>
        <w:t>、落实贵安新区矿业权设置方案要求，分解矿山企业总量控制指标，强化动态监管。</w:t>
      </w:r>
    </w:p>
    <w:p w14:paraId="35AD8CCD">
      <w:pPr>
        <w:ind w:firstLine="480"/>
        <w:rPr>
          <w:rFonts w:ascii="宋体"/>
          <w:szCs w:val="28"/>
        </w:rPr>
      </w:pPr>
      <w:r>
        <w:rPr>
          <w:rFonts w:ascii="宋体" w:hAnsi="宋体"/>
          <w:szCs w:val="28"/>
        </w:rPr>
        <w:t>2</w:t>
      </w:r>
      <w:r>
        <w:rPr>
          <w:rFonts w:hint="eastAsia" w:ascii="宋体" w:hAnsi="宋体"/>
          <w:szCs w:val="28"/>
        </w:rPr>
        <w:t>、制定监管制度，强化部门监管，对超指标出产的矿山企业，追究矿山企业违约责任。</w:t>
      </w:r>
    </w:p>
    <w:p w14:paraId="7BFF30C4">
      <w:pPr>
        <w:pStyle w:val="3"/>
        <w:spacing w:before="156" w:after="156"/>
      </w:pPr>
      <w:bookmarkStart w:id="16" w:name="_Toc508698466"/>
      <w:r>
        <w:rPr>
          <w:rFonts w:hint="eastAsia"/>
        </w:rPr>
        <w:t>第二节</w:t>
      </w:r>
      <w:r>
        <w:t xml:space="preserve">  </w:t>
      </w:r>
      <w:r>
        <w:rPr>
          <w:rFonts w:hint="eastAsia"/>
        </w:rPr>
        <w:t>优化资源开采布局</w:t>
      </w:r>
      <w:bookmarkEnd w:id="16"/>
    </w:p>
    <w:p w14:paraId="6EE2D9FA">
      <w:pPr>
        <w:ind w:firstLine="480"/>
        <w:rPr>
          <w:rFonts w:ascii="宋体"/>
          <w:szCs w:val="28"/>
        </w:rPr>
      </w:pPr>
      <w:r>
        <w:rPr>
          <w:rFonts w:hint="eastAsia" w:ascii="宋体" w:hAnsi="宋体"/>
          <w:szCs w:val="28"/>
        </w:rPr>
        <w:t>为了满足矿业权发放的需要，在开采区规划区内，利用已有的地质成果资料（包括矿产资源储量、矿体的类型、空间分布特征、规模及开发利用途径与前景等）划分开采区块</w:t>
      </w:r>
      <w:r>
        <w:rPr>
          <w:rFonts w:ascii="宋体" w:hAnsi="宋体"/>
          <w:szCs w:val="28"/>
        </w:rPr>
        <w:t>5</w:t>
      </w:r>
      <w:r>
        <w:rPr>
          <w:rFonts w:hint="eastAsia" w:ascii="宋体" w:hAnsi="宋体"/>
          <w:szCs w:val="28"/>
        </w:rPr>
        <w:t>个，并进行优化资源布局，进一步细分为</w:t>
      </w:r>
      <w:r>
        <w:rPr>
          <w:rFonts w:ascii="宋体" w:hAnsi="宋体"/>
          <w:szCs w:val="28"/>
        </w:rPr>
        <w:t>4</w:t>
      </w:r>
      <w:r>
        <w:rPr>
          <w:rFonts w:hint="eastAsia" w:ascii="宋体" w:hAnsi="宋体"/>
          <w:szCs w:val="28"/>
        </w:rPr>
        <w:t>个允许开采区，</w:t>
      </w:r>
      <w:r>
        <w:rPr>
          <w:rFonts w:ascii="宋体" w:hAnsi="宋体"/>
          <w:szCs w:val="28"/>
        </w:rPr>
        <w:t>1</w:t>
      </w:r>
      <w:r>
        <w:rPr>
          <w:rFonts w:hint="eastAsia" w:ascii="宋体" w:hAnsi="宋体"/>
          <w:szCs w:val="28"/>
        </w:rPr>
        <w:t>个集中开采区。（专栏</w:t>
      </w:r>
      <w:r>
        <w:rPr>
          <w:rFonts w:ascii="宋体" w:hAnsi="宋体"/>
          <w:szCs w:val="28"/>
        </w:rPr>
        <w:t>9</w:t>
      </w:r>
      <w:r>
        <w:rPr>
          <w:rFonts w:hint="eastAsia" w:ascii="宋体" w:hAnsi="宋体"/>
          <w:szCs w:val="28"/>
        </w:rPr>
        <w:t>、附图</w:t>
      </w:r>
      <w:r>
        <w:rPr>
          <w:rFonts w:ascii="宋体" w:hAnsi="宋体"/>
          <w:szCs w:val="28"/>
        </w:rPr>
        <w:t>3</w:t>
      </w:r>
      <w:r>
        <w:rPr>
          <w:rFonts w:hint="eastAsia" w:ascii="宋体" w:hAnsi="宋体"/>
          <w:szCs w:val="28"/>
        </w:rPr>
        <w:t>）</w:t>
      </w:r>
    </w:p>
    <w:tbl>
      <w:tblPr>
        <w:tblStyle w:val="1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4819"/>
        <w:gridCol w:w="3119"/>
      </w:tblGrid>
      <w:tr w14:paraId="371BB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gridSpan w:val="3"/>
            <w:vAlign w:val="center"/>
          </w:tcPr>
          <w:p w14:paraId="326B849E">
            <w:pPr>
              <w:ind w:firstLine="0" w:firstLineChars="0"/>
              <w:jc w:val="center"/>
              <w:rPr>
                <w:b/>
              </w:rPr>
            </w:pPr>
            <w:r>
              <w:rPr>
                <w:rFonts w:hint="eastAsia"/>
                <w:b/>
              </w:rPr>
              <w:t>专栏</w:t>
            </w:r>
            <w:r>
              <w:rPr>
                <w:b/>
              </w:rPr>
              <w:t xml:space="preserve">8  </w:t>
            </w:r>
            <w:r>
              <w:rPr>
                <w:rFonts w:hint="eastAsia"/>
                <w:b/>
              </w:rPr>
              <w:t>贵安新区直管区矿业权设置</w:t>
            </w:r>
          </w:p>
        </w:tc>
      </w:tr>
      <w:tr w14:paraId="2B362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51BEF07">
            <w:pPr>
              <w:ind w:firstLine="0" w:firstLineChars="0"/>
              <w:jc w:val="center"/>
              <w:rPr>
                <w:b/>
              </w:rPr>
            </w:pPr>
            <w:r>
              <w:rPr>
                <w:rFonts w:hint="eastAsia"/>
                <w:b/>
              </w:rPr>
              <w:t>序号</w:t>
            </w:r>
          </w:p>
        </w:tc>
        <w:tc>
          <w:tcPr>
            <w:tcW w:w="4819" w:type="dxa"/>
            <w:vAlign w:val="center"/>
          </w:tcPr>
          <w:p w14:paraId="7DEBE44D">
            <w:pPr>
              <w:ind w:firstLine="0" w:firstLineChars="0"/>
              <w:jc w:val="center"/>
              <w:rPr>
                <w:b/>
              </w:rPr>
            </w:pPr>
            <w:r>
              <w:rPr>
                <w:rFonts w:hint="eastAsia"/>
                <w:b/>
              </w:rPr>
              <w:t>矿业权设置名称</w:t>
            </w:r>
          </w:p>
        </w:tc>
        <w:tc>
          <w:tcPr>
            <w:tcW w:w="3119" w:type="dxa"/>
            <w:vAlign w:val="center"/>
          </w:tcPr>
          <w:p w14:paraId="3513709D">
            <w:pPr>
              <w:ind w:firstLine="0" w:firstLineChars="0"/>
              <w:jc w:val="center"/>
              <w:rPr>
                <w:b/>
              </w:rPr>
            </w:pPr>
            <w:r>
              <w:rPr>
                <w:rFonts w:hint="eastAsia"/>
                <w:b/>
              </w:rPr>
              <w:t>备注</w:t>
            </w:r>
          </w:p>
        </w:tc>
      </w:tr>
      <w:tr w14:paraId="3DD2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992C6D7">
            <w:pPr>
              <w:pStyle w:val="6"/>
              <w:ind w:right="-175" w:firstLine="0"/>
              <w:jc w:val="center"/>
              <w:rPr>
                <w:rFonts w:ascii="宋体"/>
              </w:rPr>
            </w:pPr>
            <w:r>
              <w:rPr>
                <w:rFonts w:ascii="宋体" w:hAnsi="宋体"/>
              </w:rPr>
              <w:t>CG01</w:t>
            </w:r>
          </w:p>
        </w:tc>
        <w:tc>
          <w:tcPr>
            <w:tcW w:w="4819" w:type="dxa"/>
          </w:tcPr>
          <w:p w14:paraId="7485AC19">
            <w:pPr>
              <w:pStyle w:val="6"/>
              <w:ind w:right="-175" w:firstLine="0"/>
              <w:jc w:val="center"/>
              <w:rPr>
                <w:rFonts w:ascii="宋体"/>
              </w:rPr>
            </w:pPr>
            <w:r>
              <w:rPr>
                <w:rFonts w:hint="eastAsia"/>
              </w:rPr>
              <w:t>马场镇马路村</w:t>
            </w:r>
            <w:r>
              <w:rPr>
                <w:rFonts w:hint="eastAsia" w:ascii="宋体" w:hAnsi="宋体"/>
              </w:rPr>
              <w:t>尖尖坡砂石场</w:t>
            </w:r>
            <w:r>
              <w:rPr>
                <w:rFonts w:hint="eastAsia"/>
              </w:rPr>
              <w:t>采矿权</w:t>
            </w:r>
          </w:p>
        </w:tc>
        <w:tc>
          <w:tcPr>
            <w:tcW w:w="3119" w:type="dxa"/>
          </w:tcPr>
          <w:p w14:paraId="11EAE215">
            <w:pPr>
              <w:pStyle w:val="6"/>
              <w:ind w:right="0" w:rightChars="0" w:firstLine="0"/>
              <w:jc w:val="center"/>
              <w:rPr>
                <w:rFonts w:ascii="宋体"/>
              </w:rPr>
            </w:pPr>
            <w:r>
              <w:rPr>
                <w:rFonts w:hint="eastAsia" w:ascii="宋体" w:hAnsi="宋体"/>
                <w:szCs w:val="28"/>
              </w:rPr>
              <w:t>允许开采区</w:t>
            </w:r>
          </w:p>
        </w:tc>
      </w:tr>
      <w:tr w14:paraId="63B26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3F4D1B9">
            <w:pPr>
              <w:pStyle w:val="6"/>
              <w:spacing w:line="320" w:lineRule="exact"/>
              <w:ind w:right="-175" w:firstLine="0"/>
              <w:jc w:val="center"/>
              <w:rPr>
                <w:rFonts w:ascii="宋体"/>
              </w:rPr>
            </w:pPr>
            <w:r>
              <w:rPr>
                <w:rFonts w:ascii="宋体" w:hAnsi="宋体"/>
              </w:rPr>
              <w:t>CG02</w:t>
            </w:r>
          </w:p>
        </w:tc>
        <w:tc>
          <w:tcPr>
            <w:tcW w:w="4819" w:type="dxa"/>
          </w:tcPr>
          <w:p w14:paraId="004E801C">
            <w:pPr>
              <w:pStyle w:val="6"/>
              <w:ind w:right="-175" w:firstLine="0"/>
              <w:jc w:val="center"/>
              <w:rPr>
                <w:rFonts w:ascii="宋体"/>
              </w:rPr>
            </w:pPr>
            <w:r>
              <w:rPr>
                <w:rFonts w:hint="eastAsia"/>
              </w:rPr>
              <w:t>马场镇白泥田砂石场采矿权</w:t>
            </w:r>
          </w:p>
        </w:tc>
        <w:tc>
          <w:tcPr>
            <w:tcW w:w="3119" w:type="dxa"/>
          </w:tcPr>
          <w:p w14:paraId="50EB839A">
            <w:pPr>
              <w:pStyle w:val="6"/>
              <w:ind w:right="0" w:rightChars="0" w:firstLine="0"/>
              <w:jc w:val="center"/>
              <w:rPr>
                <w:rFonts w:ascii="宋体"/>
                <w:szCs w:val="28"/>
              </w:rPr>
            </w:pPr>
            <w:r>
              <w:rPr>
                <w:rFonts w:hint="eastAsia" w:ascii="宋体" w:hAnsi="宋体"/>
                <w:szCs w:val="28"/>
              </w:rPr>
              <w:t>集中开采区</w:t>
            </w:r>
          </w:p>
        </w:tc>
      </w:tr>
      <w:tr w14:paraId="7B1F4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6FC3420">
            <w:pPr>
              <w:pStyle w:val="6"/>
              <w:spacing w:line="320" w:lineRule="exact"/>
              <w:ind w:right="-175" w:firstLine="0"/>
              <w:jc w:val="center"/>
              <w:rPr>
                <w:rFonts w:ascii="宋体"/>
              </w:rPr>
            </w:pPr>
            <w:r>
              <w:rPr>
                <w:rFonts w:ascii="宋体" w:hAnsi="宋体"/>
              </w:rPr>
              <w:t>CG03</w:t>
            </w:r>
          </w:p>
        </w:tc>
        <w:tc>
          <w:tcPr>
            <w:tcW w:w="4819" w:type="dxa"/>
          </w:tcPr>
          <w:p w14:paraId="4423B2B1">
            <w:pPr>
              <w:pStyle w:val="6"/>
              <w:ind w:right="-175" w:firstLine="0"/>
              <w:jc w:val="center"/>
              <w:rPr>
                <w:rFonts w:ascii="宋体"/>
              </w:rPr>
            </w:pPr>
            <w:r>
              <w:rPr>
                <w:rFonts w:hint="eastAsia"/>
              </w:rPr>
              <w:t>马场镇平阳村鹅洞</w:t>
            </w:r>
            <w:r>
              <w:t>1</w:t>
            </w:r>
            <w:r>
              <w:rPr>
                <w:rFonts w:hint="eastAsia"/>
              </w:rPr>
              <w:t>号砂石场采矿权</w:t>
            </w:r>
          </w:p>
        </w:tc>
        <w:tc>
          <w:tcPr>
            <w:tcW w:w="3119" w:type="dxa"/>
          </w:tcPr>
          <w:p w14:paraId="4A31219E">
            <w:pPr>
              <w:pStyle w:val="6"/>
              <w:ind w:right="0" w:rightChars="0" w:firstLine="0"/>
              <w:jc w:val="center"/>
              <w:rPr>
                <w:rFonts w:ascii="宋体"/>
                <w:szCs w:val="28"/>
              </w:rPr>
            </w:pPr>
            <w:r>
              <w:rPr>
                <w:rFonts w:hint="eastAsia" w:ascii="宋体" w:hAnsi="宋体"/>
                <w:szCs w:val="28"/>
              </w:rPr>
              <w:t>允许开采区</w:t>
            </w:r>
          </w:p>
        </w:tc>
      </w:tr>
      <w:tr w14:paraId="662C4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10C07A4">
            <w:pPr>
              <w:pStyle w:val="6"/>
              <w:spacing w:line="320" w:lineRule="exact"/>
              <w:ind w:right="-175" w:firstLine="0"/>
              <w:jc w:val="center"/>
              <w:rPr>
                <w:rFonts w:ascii="宋体"/>
              </w:rPr>
            </w:pPr>
            <w:r>
              <w:rPr>
                <w:rFonts w:ascii="宋体" w:hAnsi="宋体"/>
              </w:rPr>
              <w:t>CG04</w:t>
            </w:r>
          </w:p>
        </w:tc>
        <w:tc>
          <w:tcPr>
            <w:tcW w:w="4819" w:type="dxa"/>
          </w:tcPr>
          <w:p w14:paraId="64E7BFA6">
            <w:pPr>
              <w:pStyle w:val="6"/>
              <w:ind w:right="-175" w:firstLine="0"/>
              <w:jc w:val="center"/>
              <w:rPr>
                <w:rFonts w:ascii="宋体"/>
              </w:rPr>
            </w:pPr>
            <w:r>
              <w:rPr>
                <w:rFonts w:hint="eastAsia"/>
              </w:rPr>
              <w:t>马场镇平阳村鹅洞</w:t>
            </w:r>
            <w:r>
              <w:t>2</w:t>
            </w:r>
            <w:r>
              <w:rPr>
                <w:rFonts w:hint="eastAsia"/>
              </w:rPr>
              <w:t>号砂石场采矿权</w:t>
            </w:r>
          </w:p>
        </w:tc>
        <w:tc>
          <w:tcPr>
            <w:tcW w:w="3119" w:type="dxa"/>
          </w:tcPr>
          <w:p w14:paraId="35E661C0">
            <w:pPr>
              <w:pStyle w:val="6"/>
              <w:ind w:right="0" w:rightChars="0" w:firstLine="0"/>
              <w:jc w:val="center"/>
              <w:rPr>
                <w:rFonts w:ascii="宋体"/>
                <w:szCs w:val="28"/>
              </w:rPr>
            </w:pPr>
            <w:r>
              <w:rPr>
                <w:rFonts w:hint="eastAsia" w:ascii="宋体" w:hAnsi="宋体"/>
                <w:szCs w:val="28"/>
              </w:rPr>
              <w:t>允许开采区</w:t>
            </w:r>
          </w:p>
        </w:tc>
      </w:tr>
      <w:tr w14:paraId="5C3E5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00225FA">
            <w:pPr>
              <w:pStyle w:val="6"/>
              <w:spacing w:line="320" w:lineRule="exact"/>
              <w:ind w:right="-175" w:firstLine="0"/>
              <w:jc w:val="center"/>
              <w:rPr>
                <w:rFonts w:ascii="宋体"/>
              </w:rPr>
            </w:pPr>
            <w:r>
              <w:rPr>
                <w:rFonts w:ascii="宋体" w:hAnsi="宋体"/>
              </w:rPr>
              <w:t>CG05</w:t>
            </w:r>
          </w:p>
        </w:tc>
        <w:tc>
          <w:tcPr>
            <w:tcW w:w="4819" w:type="dxa"/>
          </w:tcPr>
          <w:p w14:paraId="2F12ACDB">
            <w:pPr>
              <w:pStyle w:val="6"/>
              <w:ind w:right="-175" w:firstLine="0"/>
              <w:jc w:val="center"/>
              <w:rPr>
                <w:rFonts w:ascii="宋体"/>
              </w:rPr>
            </w:pPr>
            <w:r>
              <w:rPr>
                <w:rFonts w:hint="eastAsia"/>
              </w:rPr>
              <w:t>马场镇塔冒山砂石场采矿权</w:t>
            </w:r>
          </w:p>
        </w:tc>
        <w:tc>
          <w:tcPr>
            <w:tcW w:w="3119" w:type="dxa"/>
          </w:tcPr>
          <w:p w14:paraId="7E07E507">
            <w:pPr>
              <w:pStyle w:val="6"/>
              <w:ind w:right="0" w:rightChars="0" w:firstLine="0"/>
              <w:jc w:val="center"/>
              <w:rPr>
                <w:rFonts w:ascii="宋体"/>
                <w:szCs w:val="28"/>
              </w:rPr>
            </w:pPr>
            <w:r>
              <w:rPr>
                <w:rFonts w:hint="eastAsia" w:ascii="宋体" w:hAnsi="宋体"/>
                <w:szCs w:val="28"/>
              </w:rPr>
              <w:t>允许开采区</w:t>
            </w:r>
          </w:p>
        </w:tc>
      </w:tr>
    </w:tbl>
    <w:p w14:paraId="09D03417">
      <w:pPr>
        <w:ind w:firstLine="480"/>
        <w:rPr>
          <w:rFonts w:ascii="宋体"/>
          <w:szCs w:val="28"/>
        </w:rPr>
      </w:pPr>
      <w:r>
        <w:rPr>
          <w:rFonts w:hint="eastAsia" w:ascii="宋体" w:hAnsi="宋体"/>
          <w:szCs w:val="28"/>
        </w:rPr>
        <w:t>管理措施：</w:t>
      </w:r>
    </w:p>
    <w:p w14:paraId="57E23051">
      <w:pPr>
        <w:ind w:firstLine="480"/>
        <w:rPr>
          <w:rFonts w:ascii="宋体"/>
          <w:szCs w:val="28"/>
        </w:rPr>
      </w:pPr>
      <w:r>
        <w:rPr>
          <w:rFonts w:ascii="宋体" w:hAnsi="宋体"/>
          <w:szCs w:val="28"/>
        </w:rPr>
        <w:t>1</w:t>
      </w:r>
      <w:r>
        <w:rPr>
          <w:rFonts w:hint="eastAsia" w:ascii="宋体" w:hAnsi="宋体"/>
          <w:szCs w:val="28"/>
        </w:rPr>
        <w:t>、落实规划分区管理制度，加强开采区划的监督管理；</w:t>
      </w:r>
    </w:p>
    <w:p w14:paraId="7F947BE7">
      <w:pPr>
        <w:ind w:firstLine="480"/>
        <w:rPr>
          <w:rFonts w:ascii="宋体"/>
          <w:szCs w:val="28"/>
        </w:rPr>
      </w:pPr>
      <w:r>
        <w:rPr>
          <w:rFonts w:ascii="宋体" w:hAnsi="宋体"/>
          <w:szCs w:val="28"/>
        </w:rPr>
        <w:t>2</w:t>
      </w:r>
      <w:r>
        <w:rPr>
          <w:rFonts w:hint="eastAsia" w:ascii="宋体" w:hAnsi="宋体"/>
          <w:szCs w:val="28"/>
        </w:rPr>
        <w:t>、保护区及功能区范围内，未经主管部门同意，不得新设与资源环境保护功能不相符合的矿业权；</w:t>
      </w:r>
    </w:p>
    <w:p w14:paraId="0C3E0052">
      <w:pPr>
        <w:ind w:firstLine="480"/>
        <w:rPr>
          <w:rFonts w:ascii="宋体"/>
          <w:szCs w:val="28"/>
        </w:rPr>
      </w:pPr>
      <w:r>
        <w:rPr>
          <w:rFonts w:ascii="宋体" w:hAnsi="宋体"/>
          <w:szCs w:val="28"/>
        </w:rPr>
        <w:t>3</w:t>
      </w:r>
      <w:r>
        <w:rPr>
          <w:rFonts w:hint="eastAsia" w:ascii="宋体" w:hAnsi="宋体"/>
          <w:szCs w:val="28"/>
        </w:rPr>
        <w:t>、区内新建、改建、扩建的矿山建设项目必须符合开采准入条件。</w:t>
      </w:r>
    </w:p>
    <w:p w14:paraId="4F1B9D46">
      <w:pPr>
        <w:pStyle w:val="3"/>
        <w:spacing w:before="156" w:after="156"/>
      </w:pPr>
      <w:bookmarkStart w:id="17" w:name="_Toc508698467"/>
      <w:r>
        <w:rPr>
          <w:rFonts w:hint="eastAsia"/>
        </w:rPr>
        <w:t>第三节</w:t>
      </w:r>
      <w:r>
        <w:t xml:space="preserve">  </w:t>
      </w:r>
      <w:r>
        <w:rPr>
          <w:rFonts w:hint="eastAsia"/>
        </w:rPr>
        <w:t>严格开采规划准入管理</w:t>
      </w:r>
      <w:bookmarkEnd w:id="17"/>
    </w:p>
    <w:p w14:paraId="353DEB82">
      <w:pPr>
        <w:ind w:firstLine="480"/>
      </w:pPr>
      <w:r>
        <w:rPr>
          <w:rFonts w:hint="eastAsia"/>
        </w:rPr>
        <w:t>矿山必须严格按照《矿产资源法》、《矿产资源开采登记管理办法》和《贵州省矿产资源条例》等法律、法规的要求办理，符合《省人民政府办公厅关于加强砂石矿资源开发管理的通知》（黔府办函〔</w:t>
      </w:r>
      <w:r>
        <w:t>2014</w:t>
      </w:r>
      <w:r>
        <w:rPr>
          <w:rFonts w:hint="eastAsia"/>
        </w:rPr>
        <w:t>〕</w:t>
      </w:r>
      <w:r>
        <w:t>5</w:t>
      </w:r>
      <w:r>
        <w:rPr>
          <w:rFonts w:hint="eastAsia"/>
        </w:rPr>
        <w:t>号）的要求，具备申办矿山规模相适应的资金、设备、人员与技术等，同时应满足以下条件：</w:t>
      </w:r>
    </w:p>
    <w:p w14:paraId="2858661C">
      <w:pPr>
        <w:ind w:firstLine="480"/>
      </w:pPr>
      <w:r>
        <w:rPr>
          <w:rFonts w:hint="eastAsia"/>
        </w:rPr>
        <w:t>矿山选址及范围的划定：新设采矿权的设置选址，必须经乡</w:t>
      </w:r>
      <w:r>
        <w:t>(</w:t>
      </w:r>
      <w:r>
        <w:rPr>
          <w:rFonts w:hint="eastAsia"/>
        </w:rPr>
        <w:t>镇</w:t>
      </w:r>
      <w:r>
        <w:t>)</w:t>
      </w:r>
      <w:r>
        <w:rPr>
          <w:rFonts w:hint="eastAsia"/>
        </w:rPr>
        <w:t>人民政府初审后报新区国土资源、规划建设、公安、安全监管、环境保护、农林水务等相关部门共同确定；新建矿山应由具有固体矿产勘查资质的单位编制地质勘查报告，根据地质勘查成果资料，确定矿产资源的可采资源量与矿山生产规模、开采条件、服务年限相匹配的矿区范围。新设砂石矿采矿权的矿区，可以整体开发的山体不得分割，不得将山脊划作矿界，尽量不留边坡。相邻的砂石矿山开采范围之间最小距离应大于</w:t>
      </w:r>
      <w:r>
        <w:t>300</w:t>
      </w:r>
      <w:r>
        <w:rPr>
          <w:rFonts w:hint="eastAsia"/>
        </w:rPr>
        <w:t>米，以确保双方生产安全。</w:t>
      </w:r>
    </w:p>
    <w:p w14:paraId="4487870B">
      <w:pPr>
        <w:ind w:firstLine="480"/>
      </w:pPr>
      <w:r>
        <w:rPr>
          <w:rFonts w:hint="eastAsia"/>
        </w:rPr>
        <w:t>矿山规模及服务年限：矿山应达到最低开采规模要求；新建矿山的服务年限不低于</w:t>
      </w:r>
      <w:r>
        <w:t>5</w:t>
      </w:r>
      <w:r>
        <w:rPr>
          <w:rFonts w:hint="eastAsia"/>
        </w:rPr>
        <w:t>年，不得超过</w:t>
      </w:r>
      <w:r>
        <w:t>10</w:t>
      </w:r>
      <w:r>
        <w:rPr>
          <w:rFonts w:hint="eastAsia"/>
        </w:rPr>
        <w:t>年。</w:t>
      </w:r>
    </w:p>
    <w:p w14:paraId="6462D969">
      <w:pPr>
        <w:ind w:firstLine="480"/>
      </w:pPr>
      <w:r>
        <w:rPr>
          <w:rFonts w:hint="eastAsia"/>
        </w:rPr>
        <w:t>矿山地质勘查：大致查明矿区地层、构造；矿体形态、产状、矿石的自然类型、矿石质量和物理性能。</w:t>
      </w:r>
    </w:p>
    <w:p w14:paraId="2A71D0DA">
      <w:pPr>
        <w:ind w:firstLine="480"/>
        <w:rPr>
          <w:sz w:val="28"/>
          <w:szCs w:val="28"/>
        </w:rPr>
      </w:pPr>
      <w:r>
        <w:rPr>
          <w:rFonts w:hint="eastAsia"/>
        </w:rPr>
        <w:t>矿山环境等要求：矿山应有新区国土资源部门认可的矿山开发利用方案、地质灾害危险评估、矿山地质环境保护和恢复治理、土地复垦方案，环境主管部门通过的环境影响评价表，并建立矿山生态环境恢复治理履约保证金制度</w:t>
      </w:r>
      <w:r>
        <w:rPr>
          <w:rFonts w:hint="eastAsia"/>
          <w:sz w:val="28"/>
          <w:szCs w:val="28"/>
        </w:rPr>
        <w:t>。</w:t>
      </w:r>
    </w:p>
    <w:p w14:paraId="777CAB5E">
      <w:pPr>
        <w:pStyle w:val="2"/>
      </w:pPr>
      <w:bookmarkStart w:id="18" w:name="_Toc508698468"/>
      <w:r>
        <w:rPr>
          <w:rFonts w:hint="eastAsia"/>
        </w:rPr>
        <w:t>第六章</w:t>
      </w:r>
      <w:r>
        <w:t xml:space="preserve">  </w:t>
      </w:r>
      <w:r>
        <w:rPr>
          <w:rFonts w:hint="eastAsia"/>
        </w:rPr>
        <w:t>加强矿山地质环境保护与治理</w:t>
      </w:r>
      <w:bookmarkEnd w:id="18"/>
    </w:p>
    <w:p w14:paraId="7145E82D">
      <w:pPr>
        <w:pStyle w:val="3"/>
        <w:spacing w:before="156" w:after="156"/>
      </w:pPr>
      <w:bookmarkStart w:id="19" w:name="_Toc508698469"/>
      <w:r>
        <w:rPr>
          <w:rFonts w:hint="eastAsia"/>
        </w:rPr>
        <w:t>第一节</w:t>
      </w:r>
      <w:r>
        <w:t xml:space="preserve">  </w:t>
      </w:r>
      <w:r>
        <w:rPr>
          <w:rFonts w:hint="eastAsia"/>
        </w:rPr>
        <w:t>加强矿山地质环境保护</w:t>
      </w:r>
      <w:bookmarkEnd w:id="19"/>
    </w:p>
    <w:p w14:paraId="215103AA">
      <w:pPr>
        <w:ind w:firstLine="480"/>
      </w:pPr>
      <w:r>
        <w:rPr>
          <w:rFonts w:hint="eastAsia"/>
        </w:rPr>
        <w:t>贵安新区直管区矿山生态环境保护与恢复治理规划总的要求是以城镇和风景名胜保护为主，乡镇和生态农业区兼顾。逐步加强对境内矿山生态环境的管理，初步建立起矿山生态环境恢复治理履约保证金制度，不再新建对生态环境具有不可恢复的破坏性影响的矿产资源开采项目，依据“谁破坏、谁治理”的原则加大对老矿山生态环境的恢复治理工作，到</w:t>
      </w:r>
      <w:r>
        <w:t>2020</w:t>
      </w:r>
      <w:r>
        <w:rPr>
          <w:rFonts w:hint="eastAsia"/>
        </w:rPr>
        <w:t>年，使矿山生态环境状况得到改善。</w:t>
      </w:r>
    </w:p>
    <w:p w14:paraId="4406C700">
      <w:pPr>
        <w:ind w:firstLine="482"/>
        <w:rPr>
          <w:b/>
        </w:rPr>
      </w:pPr>
      <w:r>
        <w:rPr>
          <w:rFonts w:hint="eastAsia"/>
          <w:b/>
        </w:rPr>
        <w:t>一、新建矿山的地质环境保护</w:t>
      </w:r>
    </w:p>
    <w:p w14:paraId="5985710E">
      <w:pPr>
        <w:ind w:firstLine="480"/>
      </w:pPr>
      <w:r>
        <w:rPr>
          <w:rFonts w:hint="eastAsia"/>
        </w:rPr>
        <w:t>必须符合矿产资源开发的环境准入条件，即必须具备由有关行政管理部门审批通过的环境影响评价表、开发利用方案、水土保持方案、土地复垦方案及矿山地质环境保护与综合治理方案等，并按有关规定筹集治理恢复资金，用于已产生矿山环境问题的治理。同时，建立矿山地质环境动态监管机制，加强对矿山企业地质环境治理恢复的监督检查。严格实施“谁开发，谁保护”、“谁污染，谁治理”、“谁破坏，谁复垦”的原则，矿山企业必须依法办矿，依靠技术创新，综合利用矿产资源，规范管理，落实矿山地质环境保护和修复责任制。</w:t>
      </w:r>
    </w:p>
    <w:p w14:paraId="42E37C47">
      <w:pPr>
        <w:ind w:firstLine="482"/>
        <w:rPr>
          <w:b/>
        </w:rPr>
      </w:pPr>
      <w:r>
        <w:rPr>
          <w:rFonts w:hint="eastAsia"/>
          <w:b/>
        </w:rPr>
        <w:t>二、生产矿山的地质环境保护</w:t>
      </w:r>
    </w:p>
    <w:p w14:paraId="239616F7">
      <w:pPr>
        <w:ind w:firstLine="480"/>
      </w:pPr>
      <w:r>
        <w:rPr>
          <w:rFonts w:hint="eastAsia"/>
        </w:rPr>
        <w:t>矿山应按照已批准的土地复垦方案、矿山地质环境保护与综合治理方案等，落实矿山地质环境保护和修复责任制。已设立的保证金专户分类按程序取消，对于资金属企业所有，但需国土资源、财政等相关部门审批后动用，存缴至银行专用账户的保证金，应该解除资金支取与审批动用手续的关系；企业应承担矿山地质环境治理恢复责任，对于汇缴至财政专户，由企业申请，经国土资源、财政等相关部门审批动用的保证金，按照企业实际缴纳资金数额与已用于该企业造成矿山地质环境问题治理的支出差额，归还企业；对治理责任主体已灭失的企业，保证金不予退还，由政府专项用于矿山地质环境治理恢复。企业应将退还的保证金转存为基金，用于已产生矿山地质环境问题的治理。矿业固体废物、废水及废气应按相关标准和规定处理或排放；采用喷水、浇水等措施，减少粉尘对环境的污染和对人体健康的危害；矿山企业对矿业活动引发的地质灾害应积极治理，对矿山损毁土地进行恢复；加强矿山安全监督管理；矿山生产中必须做到边生产、边恢复（治理）。对治理不力、造成生态环境严重破坏的，应依法责令其停产整顿，直至吊销采矿权。</w:t>
      </w:r>
    </w:p>
    <w:p w14:paraId="564633FF">
      <w:pPr>
        <w:ind w:firstLine="480"/>
        <w:rPr>
          <w:b/>
        </w:rPr>
      </w:pPr>
      <w:r>
        <w:rPr>
          <w:rFonts w:hint="eastAsia"/>
        </w:rPr>
        <w:t>三、</w:t>
      </w:r>
      <w:r>
        <w:rPr>
          <w:rFonts w:hint="eastAsia"/>
          <w:b/>
        </w:rPr>
        <w:t>关闭矿山的地质环境保护</w:t>
      </w:r>
    </w:p>
    <w:p w14:paraId="0BC00A36">
      <w:pPr>
        <w:ind w:firstLine="480"/>
      </w:pPr>
      <w:r>
        <w:rPr>
          <w:rFonts w:hint="eastAsia"/>
        </w:rPr>
        <w:t>已关闭或列入关闭的矿山，其治理复绿资金主要为原矿业权人</w:t>
      </w:r>
      <w:r>
        <w:rPr>
          <w:rFonts w:hint="eastAsia" w:cs="宋体"/>
          <w:kern w:val="0"/>
        </w:rPr>
        <w:t>缴纳矿山地质环境治理与恢复保证金</w:t>
      </w:r>
      <w:r>
        <w:rPr>
          <w:rFonts w:hint="eastAsia"/>
        </w:rPr>
        <w:t>，根据</w:t>
      </w:r>
      <w:r>
        <w:rPr>
          <w:rFonts w:hint="eastAsia" w:cs="宋体"/>
          <w:kern w:val="0"/>
        </w:rPr>
        <w:t>矿山地质环境保护与综合治理方案</w:t>
      </w:r>
      <w:r>
        <w:rPr>
          <w:rFonts w:hint="eastAsia"/>
        </w:rPr>
        <w:t>、</w:t>
      </w:r>
      <w:r>
        <w:rPr>
          <w:rFonts w:hint="eastAsia" w:cs="宋体"/>
          <w:kern w:val="0"/>
        </w:rPr>
        <w:t>土地复垦方案</w:t>
      </w:r>
      <w:r>
        <w:rPr>
          <w:rFonts w:hint="eastAsia"/>
        </w:rPr>
        <w:t>进行地质环境治理与复绿工作，经有资质的鉴定单位验收通过后，矿主方能撤离现场，确保矿山环境恢复治理不欠新账，快还旧账。改善矿区及周边地区生态环境，争取到</w:t>
      </w:r>
      <w:r>
        <w:t>2020</w:t>
      </w:r>
      <w:r>
        <w:rPr>
          <w:rFonts w:hint="eastAsia"/>
        </w:rPr>
        <w:t>年，全面恢复治理区内已关闭的</w:t>
      </w:r>
      <w:r>
        <w:t>46</w:t>
      </w:r>
      <w:r>
        <w:rPr>
          <w:rFonts w:hint="eastAsia"/>
        </w:rPr>
        <w:t>个矿山、正在生产的</w:t>
      </w:r>
      <w:r>
        <w:t>1</w:t>
      </w:r>
      <w:r>
        <w:rPr>
          <w:rFonts w:hint="eastAsia"/>
        </w:rPr>
        <w:t>个矿山，完成治理恢复面积</w:t>
      </w:r>
      <w:r>
        <w:t>4.2km</w:t>
      </w:r>
      <w:r>
        <w:rPr>
          <w:vertAlign w:val="superscript"/>
        </w:rPr>
        <w:t>2</w:t>
      </w:r>
      <w:r>
        <w:rPr>
          <w:rFonts w:hint="eastAsia"/>
        </w:rPr>
        <w:t>。实施重大工程，解决严重影响人居环境、工农业生产、城市发展的矿山地质环境突出问题。对于历史遗留，责任主体灭失的矿山，积极争取中央财政资金投入，安排矿山地质环境治理专项资金，通过实施治理项目逐步解决。鼓励和引导社会资金投入治理，多渠道筹集资金。</w:t>
      </w:r>
    </w:p>
    <w:p w14:paraId="224DF0A9">
      <w:pPr>
        <w:pStyle w:val="3"/>
        <w:spacing w:before="156" w:after="156"/>
      </w:pPr>
      <w:bookmarkStart w:id="20" w:name="_Toc508698470"/>
      <w:r>
        <w:rPr>
          <w:rFonts w:hint="eastAsia"/>
        </w:rPr>
        <w:t>第二节</w:t>
      </w:r>
      <w:r>
        <w:t xml:space="preserve">  </w:t>
      </w:r>
      <w:r>
        <w:rPr>
          <w:rFonts w:hint="eastAsia"/>
        </w:rPr>
        <w:t>实施矿山地质环境治理重点项目</w:t>
      </w:r>
      <w:bookmarkEnd w:id="20"/>
    </w:p>
    <w:p w14:paraId="51F46066">
      <w:pPr>
        <w:ind w:firstLine="482"/>
        <w:rPr>
          <w:b/>
        </w:rPr>
      </w:pPr>
      <w:r>
        <w:rPr>
          <w:rFonts w:hint="eastAsia"/>
          <w:b/>
        </w:rPr>
        <w:t>一、重要治理项目</w:t>
      </w:r>
    </w:p>
    <w:p w14:paraId="4B8088F2">
      <w:pPr>
        <w:ind w:firstLine="480"/>
      </w:pPr>
      <w:r>
        <w:rPr>
          <w:rFonts w:hint="eastAsia"/>
        </w:rPr>
        <w:t>目前，贵安新区直管区内已关闭的</w:t>
      </w:r>
      <w:r>
        <w:t>46</w:t>
      </w:r>
      <w:r>
        <w:rPr>
          <w:rFonts w:hint="eastAsia"/>
        </w:rPr>
        <w:t>个矿山，正在生产的</w:t>
      </w:r>
      <w:r>
        <w:t>1</w:t>
      </w:r>
      <w:r>
        <w:rPr>
          <w:rFonts w:hint="eastAsia"/>
        </w:rPr>
        <w:t>个矿山，需要进行矿山地质恢复治理。直管区内有重要的红枫湖引用水源保护区、松柏山水库饮用水源保护区等重要的水源保护区、高峰山名胜区及重要的交通干道等。因此，根据直管区的相关政策等，其区内的矿山地质环境治理的项目及进度安排如下：</w:t>
      </w:r>
    </w:p>
    <w:p w14:paraId="671DB76A">
      <w:pPr>
        <w:ind w:firstLine="480"/>
      </w:pPr>
      <w:r>
        <w:t>1</w:t>
      </w:r>
      <w:r>
        <w:rPr>
          <w:rFonts w:hint="eastAsia"/>
        </w:rPr>
        <w:t>、</w:t>
      </w:r>
      <w:r>
        <w:t>2016—2018</w:t>
      </w:r>
      <w:r>
        <w:rPr>
          <w:rFonts w:hint="eastAsia"/>
        </w:rPr>
        <w:t>年，全面治理红枫湖饮用水源保护区、松柏山饮用水源保护区、高峰山省级风景名胜区、天河国家级风景名胜区内的矿山。</w:t>
      </w:r>
    </w:p>
    <w:p w14:paraId="1CB2DEF2">
      <w:pPr>
        <w:ind w:firstLine="480"/>
      </w:pPr>
      <w:r>
        <w:t>2</w:t>
      </w:r>
      <w:r>
        <w:rPr>
          <w:rFonts w:hint="eastAsia"/>
        </w:rPr>
        <w:t>、</w:t>
      </w:r>
      <w:r>
        <w:t>2018—2019</w:t>
      </w:r>
      <w:r>
        <w:rPr>
          <w:rFonts w:hint="eastAsia"/>
        </w:rPr>
        <w:t>年，全面治理重要的昆沪高铁、昆沪高速路、环城高速、中缅油气管道、磊庄机场及贵安第二高速路周边的矿山。</w:t>
      </w:r>
    </w:p>
    <w:p w14:paraId="297E8F8A">
      <w:pPr>
        <w:ind w:firstLine="480"/>
      </w:pPr>
      <w:r>
        <w:t>3</w:t>
      </w:r>
      <w:r>
        <w:rPr>
          <w:rFonts w:hint="eastAsia"/>
        </w:rPr>
        <w:t>、</w:t>
      </w:r>
      <w:r>
        <w:t>2019</w:t>
      </w:r>
      <w:r>
        <w:rPr>
          <w:rFonts w:hint="eastAsia"/>
        </w:rPr>
        <w:t>年</w:t>
      </w:r>
      <w:r>
        <w:t>—2020</w:t>
      </w:r>
      <w:r>
        <w:rPr>
          <w:rFonts w:hint="eastAsia"/>
        </w:rPr>
        <w:t>年，全面治理区内剩下的关闭的矿山。</w:t>
      </w:r>
    </w:p>
    <w:p w14:paraId="75E122B7">
      <w:pPr>
        <w:ind w:firstLine="480"/>
      </w:pPr>
      <w:r>
        <w:rPr>
          <w:rFonts w:hint="eastAsia"/>
        </w:rPr>
        <w:t>全区内已关闭的</w:t>
      </w:r>
      <w:r>
        <w:t>46</w:t>
      </w:r>
      <w:r>
        <w:rPr>
          <w:rFonts w:hint="eastAsia"/>
        </w:rPr>
        <w:t>个矿山，其中有两个未进行矿山建设的关闭矿山，未对环境造成破坏；有三个关闭矿山已对其进行矿山复绿。目前，有一个矿山还在进行生产；到</w:t>
      </w:r>
      <w:r>
        <w:t>2020</w:t>
      </w:r>
      <w:r>
        <w:rPr>
          <w:rFonts w:hint="eastAsia"/>
        </w:rPr>
        <w:t>年，对其余</w:t>
      </w:r>
      <w:r>
        <w:t>41</w:t>
      </w:r>
      <w:r>
        <w:rPr>
          <w:rFonts w:hint="eastAsia"/>
        </w:rPr>
        <w:t>个已关闭矿山进行全部的恢复治理，恢复面积约</w:t>
      </w:r>
      <w:r>
        <w:t>4.2km</w:t>
      </w:r>
      <w:r>
        <w:rPr>
          <w:vertAlign w:val="superscript"/>
        </w:rPr>
        <w:t>2</w:t>
      </w:r>
      <w:r>
        <w:rPr>
          <w:rFonts w:hint="eastAsia"/>
        </w:rPr>
        <w:t>。（专栏</w:t>
      </w:r>
      <w:r>
        <w:t xml:space="preserve">10  </w:t>
      </w:r>
      <w:r>
        <w:rPr>
          <w:rFonts w:hint="eastAsia"/>
        </w:rPr>
        <w:t>矿山生态环境恢复治理规划表）</w:t>
      </w:r>
    </w:p>
    <w:tbl>
      <w:tblPr>
        <w:tblStyle w:val="13"/>
        <w:tblW w:w="0" w:type="auto"/>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81"/>
        <w:gridCol w:w="1701"/>
        <w:gridCol w:w="1352"/>
      </w:tblGrid>
      <w:tr w14:paraId="12AF5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blHeader/>
        </w:trPr>
        <w:tc>
          <w:tcPr>
            <w:tcW w:w="8434" w:type="dxa"/>
            <w:gridSpan w:val="3"/>
          </w:tcPr>
          <w:p w14:paraId="1A9779E5">
            <w:pPr>
              <w:ind w:left="1" w:firstLine="0" w:firstLineChars="0"/>
              <w:jc w:val="center"/>
              <w:rPr>
                <w:b/>
              </w:rPr>
            </w:pPr>
            <w:r>
              <w:rPr>
                <w:rFonts w:hint="eastAsia"/>
                <w:b/>
              </w:rPr>
              <w:t>专栏</w:t>
            </w:r>
            <w:r>
              <w:rPr>
                <w:b/>
              </w:rPr>
              <w:t xml:space="preserve">10  </w:t>
            </w:r>
            <w:r>
              <w:rPr>
                <w:rFonts w:hint="eastAsia"/>
                <w:b/>
              </w:rPr>
              <w:t>矿山生态环境恢复治理规划表</w:t>
            </w:r>
          </w:p>
        </w:tc>
      </w:tr>
      <w:tr w14:paraId="4FFEA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trPr>
        <w:tc>
          <w:tcPr>
            <w:tcW w:w="5381" w:type="dxa"/>
          </w:tcPr>
          <w:p w14:paraId="00443817">
            <w:pPr>
              <w:ind w:left="2" w:firstLine="0" w:firstLineChars="0"/>
              <w:rPr>
                <w:b/>
              </w:rPr>
            </w:pPr>
            <w:r>
              <w:rPr>
                <w:rFonts w:hint="eastAsia"/>
                <w:b/>
              </w:rPr>
              <w:t>项目名称</w:t>
            </w:r>
          </w:p>
        </w:tc>
        <w:tc>
          <w:tcPr>
            <w:tcW w:w="1701" w:type="dxa"/>
          </w:tcPr>
          <w:p w14:paraId="55C331C5">
            <w:pPr>
              <w:ind w:left="2" w:firstLine="0" w:firstLineChars="0"/>
              <w:rPr>
                <w:b/>
              </w:rPr>
            </w:pPr>
            <w:r>
              <w:rPr>
                <w:rFonts w:hint="eastAsia"/>
                <w:b/>
              </w:rPr>
              <w:t>治理内容</w:t>
            </w:r>
          </w:p>
        </w:tc>
        <w:tc>
          <w:tcPr>
            <w:tcW w:w="1352" w:type="dxa"/>
          </w:tcPr>
          <w:p w14:paraId="41482ECF">
            <w:pPr>
              <w:ind w:left="2" w:firstLine="0" w:firstLineChars="0"/>
              <w:rPr>
                <w:b/>
              </w:rPr>
            </w:pPr>
            <w:r>
              <w:rPr>
                <w:rFonts w:hint="eastAsia"/>
                <w:b/>
              </w:rPr>
              <w:t>完成时间</w:t>
            </w:r>
          </w:p>
        </w:tc>
      </w:tr>
      <w:tr w14:paraId="397D4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5381" w:type="dxa"/>
            <w:vAlign w:val="center"/>
          </w:tcPr>
          <w:p w14:paraId="6524EC77">
            <w:pPr>
              <w:ind w:firstLine="0" w:firstLineChars="0"/>
              <w:rPr>
                <w:rFonts w:ascii="Courier New" w:hAnsi="Courier New" w:cs="Courier New"/>
                <w:sz w:val="22"/>
              </w:rPr>
            </w:pPr>
            <w:r>
              <w:rPr>
                <w:rFonts w:hint="eastAsia"/>
              </w:rPr>
              <w:t>马场镇大元采石场、高峰镇石甲村山嘴坡砂石场、马场镇马鞍村马鞍山采石场、高峰镇龙宝村江青后坡采石场、马场镇四平砂石场、高峰镇石甲村大坡砂石场、贵阳花溪绿韵石板石材有限公司</w:t>
            </w:r>
          </w:p>
        </w:tc>
        <w:tc>
          <w:tcPr>
            <w:tcW w:w="1701" w:type="dxa"/>
          </w:tcPr>
          <w:p w14:paraId="5857229D">
            <w:pPr>
              <w:ind w:left="2" w:firstLine="0" w:firstLineChars="0"/>
            </w:pPr>
            <w:r>
              <w:rPr>
                <w:rFonts w:hint="eastAsia"/>
              </w:rPr>
              <w:t>按矿山环境保护与恢复治理相关技术要求确定</w:t>
            </w:r>
          </w:p>
        </w:tc>
        <w:tc>
          <w:tcPr>
            <w:tcW w:w="1352" w:type="dxa"/>
          </w:tcPr>
          <w:p w14:paraId="554AF105">
            <w:pPr>
              <w:ind w:left="2" w:firstLine="0" w:firstLineChars="0"/>
            </w:pPr>
            <w:r>
              <w:t>2016—</w:t>
            </w:r>
          </w:p>
          <w:p w14:paraId="7E3909DA">
            <w:pPr>
              <w:ind w:left="2" w:firstLine="0" w:firstLineChars="0"/>
            </w:pPr>
            <w:r>
              <w:t>2018</w:t>
            </w:r>
            <w:r>
              <w:rPr>
                <w:rFonts w:hint="eastAsia"/>
              </w:rPr>
              <w:t>年</w:t>
            </w:r>
          </w:p>
        </w:tc>
      </w:tr>
      <w:tr w14:paraId="50D6F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5381" w:type="dxa"/>
          </w:tcPr>
          <w:p w14:paraId="38419765">
            <w:pPr>
              <w:ind w:firstLine="0" w:firstLineChars="0"/>
            </w:pPr>
            <w:r>
              <w:rPr>
                <w:rFonts w:hint="eastAsia"/>
              </w:rPr>
              <w:t>红枫湖镇大窝子砂石厂、红枫湖镇圳安石厂、红枫湖镇龙辉砂石厂、湖潮乡新民青山砂石厂矿山、利顺砂石厂、马场镇洋塘村采石场、高峰镇桥头村页岩矿山、高峰镇麻郎村采石场、高峰镇毛昌村页岩砂石场、高峰镇桥头村黑豆坡页岩采石场、马场镇马场村看哨坡砂石场、马场镇平寨村鹅坡砂石场、马场镇马路砂石场、马场镇平阳村牛滚塘坡白云岩矿山、马场镇文兴砂石场、马场镇永发砂石场、马场镇顺玉采石场、贵州羊艾监狱砂石场</w:t>
            </w:r>
          </w:p>
        </w:tc>
        <w:tc>
          <w:tcPr>
            <w:tcW w:w="1701" w:type="dxa"/>
          </w:tcPr>
          <w:p w14:paraId="4B81EC54">
            <w:pPr>
              <w:ind w:left="2" w:firstLine="0" w:firstLineChars="0"/>
            </w:pPr>
            <w:r>
              <w:rPr>
                <w:rFonts w:hint="eastAsia"/>
              </w:rPr>
              <w:t>按矿山环境保护与恢复治理相关技术要求确定</w:t>
            </w:r>
          </w:p>
        </w:tc>
        <w:tc>
          <w:tcPr>
            <w:tcW w:w="1352" w:type="dxa"/>
          </w:tcPr>
          <w:p w14:paraId="02707966">
            <w:pPr>
              <w:ind w:left="2" w:firstLine="0" w:firstLineChars="0"/>
            </w:pPr>
            <w:r>
              <w:t>2018—</w:t>
            </w:r>
          </w:p>
          <w:p w14:paraId="2879164C">
            <w:pPr>
              <w:ind w:left="2" w:firstLine="0" w:firstLineChars="0"/>
            </w:pPr>
            <w:r>
              <w:t>2019</w:t>
            </w:r>
            <w:r>
              <w:rPr>
                <w:rFonts w:hint="eastAsia"/>
              </w:rPr>
              <w:t>年</w:t>
            </w:r>
          </w:p>
        </w:tc>
      </w:tr>
      <w:tr w14:paraId="3F587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5381" w:type="dxa"/>
          </w:tcPr>
          <w:p w14:paraId="3F5C9D27">
            <w:pPr>
              <w:ind w:firstLine="0" w:firstLineChars="0"/>
            </w:pPr>
            <w:r>
              <w:rPr>
                <w:rFonts w:hint="eastAsia"/>
              </w:rPr>
              <w:t>安顺市平坝县马场镇宏源煤矿、安顺市平坝县马场镇平源煤矿</w:t>
            </w:r>
          </w:p>
        </w:tc>
        <w:tc>
          <w:tcPr>
            <w:tcW w:w="1701" w:type="dxa"/>
          </w:tcPr>
          <w:p w14:paraId="0F42A3CB">
            <w:pPr>
              <w:ind w:left="2" w:firstLine="0" w:firstLineChars="0"/>
            </w:pPr>
            <w:r>
              <w:rPr>
                <w:rFonts w:hint="eastAsia"/>
              </w:rPr>
              <w:t>按矿山环境保护与恢复治理相关技术要求确定</w:t>
            </w:r>
          </w:p>
        </w:tc>
        <w:tc>
          <w:tcPr>
            <w:tcW w:w="1352" w:type="dxa"/>
          </w:tcPr>
          <w:p w14:paraId="4CDF5575">
            <w:pPr>
              <w:ind w:left="2" w:firstLine="0" w:firstLineChars="0"/>
            </w:pPr>
            <w:r>
              <w:t>2019—</w:t>
            </w:r>
          </w:p>
          <w:p w14:paraId="2C06F7BA">
            <w:pPr>
              <w:ind w:left="2" w:firstLine="0" w:firstLineChars="0"/>
            </w:pPr>
            <w:r>
              <w:t>2020</w:t>
            </w:r>
            <w:r>
              <w:rPr>
                <w:rFonts w:hint="eastAsia"/>
              </w:rPr>
              <w:t>年</w:t>
            </w:r>
          </w:p>
        </w:tc>
      </w:tr>
      <w:tr w14:paraId="5837E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5381" w:type="dxa"/>
          </w:tcPr>
          <w:p w14:paraId="2E8CE9CB">
            <w:pPr>
              <w:ind w:firstLine="0" w:firstLineChars="0"/>
            </w:pPr>
            <w:r>
              <w:rPr>
                <w:rFonts w:hint="eastAsia"/>
              </w:rPr>
              <w:t>高峰镇普马村马打扒采石场、高峰镇大狗场村云盘坡页岩采石场、高峰镇桥头村下花排页岩采石场、高峰镇岩脚村页岩矿山、马场镇祥和采石场、高峰镇龙宝村牛洞坡采石场、高峰镇老胖村大坡砂石场、高峰镇岩脚村竹子陇砂石场、高峰镇大狗场江南砂石矿、高峰镇毛昌村平坡砂石场、湖潮乡大树脚砂石厂、湖潮乡广兴砂厂、湖潮乡广兴石头山砂石厂、马房坡饰面用石料</w:t>
            </w:r>
            <w:r>
              <w:t>(</w:t>
            </w:r>
            <w:r>
              <w:rPr>
                <w:rFonts w:hint="eastAsia"/>
              </w:rPr>
              <w:t>大理石</w:t>
            </w:r>
            <w:r>
              <w:t>)</w:t>
            </w:r>
            <w:r>
              <w:rPr>
                <w:rFonts w:hint="eastAsia"/>
              </w:rPr>
              <w:t>矿</w:t>
            </w:r>
          </w:p>
        </w:tc>
        <w:tc>
          <w:tcPr>
            <w:tcW w:w="1701" w:type="dxa"/>
          </w:tcPr>
          <w:p w14:paraId="01A785FF">
            <w:pPr>
              <w:ind w:left="2" w:firstLine="0" w:firstLineChars="0"/>
            </w:pPr>
            <w:r>
              <w:rPr>
                <w:rFonts w:hint="eastAsia"/>
              </w:rPr>
              <w:t>按矿山环境保护与恢复治理相关技术要求确定</w:t>
            </w:r>
          </w:p>
        </w:tc>
        <w:tc>
          <w:tcPr>
            <w:tcW w:w="1352" w:type="dxa"/>
          </w:tcPr>
          <w:p w14:paraId="752C9949">
            <w:pPr>
              <w:ind w:left="2" w:firstLine="0" w:firstLineChars="0"/>
            </w:pPr>
            <w:r>
              <w:t>2019—</w:t>
            </w:r>
          </w:p>
          <w:p w14:paraId="295909CA">
            <w:pPr>
              <w:ind w:left="2" w:firstLine="0" w:firstLineChars="0"/>
            </w:pPr>
            <w:r>
              <w:t>2020</w:t>
            </w:r>
            <w:r>
              <w:rPr>
                <w:rFonts w:hint="eastAsia"/>
              </w:rPr>
              <w:t>年</w:t>
            </w:r>
          </w:p>
        </w:tc>
      </w:tr>
    </w:tbl>
    <w:p w14:paraId="63EDF675">
      <w:pPr>
        <w:ind w:firstLine="480"/>
      </w:pPr>
    </w:p>
    <w:p w14:paraId="299AA96A">
      <w:pPr>
        <w:ind w:firstLine="482"/>
        <w:rPr>
          <w:b/>
        </w:rPr>
      </w:pPr>
      <w:r>
        <w:rPr>
          <w:rFonts w:hint="eastAsia"/>
          <w:b/>
        </w:rPr>
        <w:t>二、预期效益</w:t>
      </w:r>
    </w:p>
    <w:p w14:paraId="76F15359">
      <w:pPr>
        <w:ind w:firstLine="482"/>
        <w:rPr>
          <w:b/>
        </w:rPr>
      </w:pPr>
      <w:r>
        <w:rPr>
          <w:rFonts w:hint="eastAsia"/>
          <w:b/>
        </w:rPr>
        <w:t>（</w:t>
      </w:r>
      <w:r>
        <w:rPr>
          <w:b/>
        </w:rPr>
        <w:t>1</w:t>
      </w:r>
      <w:r>
        <w:rPr>
          <w:rFonts w:hint="eastAsia"/>
          <w:b/>
        </w:rPr>
        <w:t>）生态环境效益</w:t>
      </w:r>
    </w:p>
    <w:p w14:paraId="60830129">
      <w:pPr>
        <w:ind w:firstLine="480"/>
      </w:pPr>
      <w:r>
        <w:rPr>
          <w:rFonts w:hint="eastAsia"/>
        </w:rPr>
        <w:t>通过对治理区矿山地质环境治理，最终将实现消除环境污染，关闭矿山和废弃地平整连片植树复绿的目标。体现在以下几个方面：一是治理到位后将大大提高矿产开采形成的边坡的稳定性和安全性；二是采石场和废弃地也将重新披上绿装，与原来的自然风貌将浑为一体，山体自然风貌得以再现；三是水土得以保持，被破坏的山地资源将重获生机。预期工程结束后将彻底改变贵安新区直管区的生态环境，对“生态文明示范区”的建设意义深远。</w:t>
      </w:r>
    </w:p>
    <w:p w14:paraId="6811CC12">
      <w:pPr>
        <w:ind w:firstLine="482"/>
        <w:rPr>
          <w:b/>
        </w:rPr>
      </w:pPr>
      <w:r>
        <w:rPr>
          <w:rFonts w:hint="eastAsia"/>
          <w:b/>
        </w:rPr>
        <w:t>（</w:t>
      </w:r>
      <w:r>
        <w:rPr>
          <w:b/>
        </w:rPr>
        <w:t>2</w:t>
      </w:r>
      <w:r>
        <w:rPr>
          <w:rFonts w:hint="eastAsia"/>
          <w:b/>
        </w:rPr>
        <w:t>）社会效益</w:t>
      </w:r>
    </w:p>
    <w:p w14:paraId="5B73925F">
      <w:pPr>
        <w:ind w:firstLine="480"/>
      </w:pPr>
      <w:r>
        <w:rPr>
          <w:rFonts w:hint="eastAsia"/>
        </w:rPr>
        <w:t>通过对矿山地质环境治理，矿区地质环境将得到较大的改观，并与红枫湖</w:t>
      </w:r>
      <w:r>
        <w:t>—</w:t>
      </w:r>
      <w:r>
        <w:rPr>
          <w:rFonts w:hint="eastAsia"/>
        </w:rPr>
        <w:t>高峰山风景名胜区良好的自然山水生态环境相协调。此外，矿山地质环境恢复的治理，能够有效的减少水土流失，更好的保护了红枫湖与松柏山水库饮用水源地；能够消除矿山粉尘对居民生活的影响。总而言之，矿山地质环境恢复治理，不仅能够有效的改善了绕城路、沪昆高铁、磊庄机场等生态走廊的投资环境，使居民生活质量提高。</w:t>
      </w:r>
    </w:p>
    <w:p w14:paraId="5FE35DA0">
      <w:pPr>
        <w:ind w:firstLine="482"/>
        <w:rPr>
          <w:b/>
        </w:rPr>
      </w:pPr>
      <w:r>
        <w:rPr>
          <w:rFonts w:hint="eastAsia"/>
          <w:b/>
        </w:rPr>
        <w:t>（</w:t>
      </w:r>
      <w:r>
        <w:rPr>
          <w:b/>
        </w:rPr>
        <w:t>3</w:t>
      </w:r>
      <w:r>
        <w:rPr>
          <w:rFonts w:hint="eastAsia"/>
          <w:b/>
        </w:rPr>
        <w:t>）经济效益</w:t>
      </w:r>
    </w:p>
    <w:p w14:paraId="2E22A329">
      <w:pPr>
        <w:ind w:firstLine="480"/>
      </w:pPr>
      <w:r>
        <w:rPr>
          <w:rFonts w:hint="eastAsia"/>
        </w:rPr>
        <w:t>通过对贵安新区直管区治理矿山地质环境治理，原来的废弃地经平整恢复治理后，完成治理面积约</w:t>
      </w:r>
      <w:r>
        <w:t>4.2km</w:t>
      </w:r>
      <w:r>
        <w:rPr>
          <w:vertAlign w:val="superscript"/>
        </w:rPr>
        <w:t>2</w:t>
      </w:r>
      <w:r>
        <w:rPr>
          <w:rFonts w:hint="eastAsia"/>
        </w:rPr>
        <w:t>，为贵安新区生态城和马场科技新城提供了一定的建设用地，确保园区的可持续发展。新增的林地及耕地，有效的保护了红枫湖</w:t>
      </w:r>
      <w:r>
        <w:t>—</w:t>
      </w:r>
      <w:r>
        <w:rPr>
          <w:rFonts w:hint="eastAsia"/>
        </w:rPr>
        <w:t>高峰山风景区、红枫湖饮用水源及松泊山水库饮用水源保护区。</w:t>
      </w:r>
    </w:p>
    <w:p w14:paraId="70F6E4D5">
      <w:pPr>
        <w:pStyle w:val="3"/>
        <w:spacing w:before="156" w:after="156"/>
      </w:pPr>
      <w:bookmarkStart w:id="21" w:name="_Toc508698471"/>
      <w:r>
        <w:rPr>
          <w:rFonts w:hint="eastAsia"/>
        </w:rPr>
        <w:t>第三节</w:t>
      </w:r>
      <w:r>
        <w:t xml:space="preserve">  </w:t>
      </w:r>
      <w:r>
        <w:rPr>
          <w:rFonts w:hint="eastAsia"/>
        </w:rPr>
        <w:t>创建矿山地质环境治理恢复工作机制</w:t>
      </w:r>
      <w:bookmarkEnd w:id="21"/>
    </w:p>
    <w:p w14:paraId="794A543A">
      <w:pPr>
        <w:ind w:firstLine="480"/>
      </w:pPr>
      <w:r>
        <w:rPr>
          <w:rFonts w:hint="eastAsia"/>
        </w:rPr>
        <w:t>加强矿山的地质环境保护，坚持以预防为主、防止结合、谁开发谁保护、谁破坏谁治理、谁投资谁受益的原则。减少矿产资源勘查开发活动中造成的的矿山地质环境破坏，保护人民生命和财产安全，促进矿产资源的合理开发利用和经济社会、资环环境的协调发展。坚持在保护中开发，在开发中保护，最大限度减少或避免因矿产开发引发的矿山环境问题。建立地质环境动态监测体系，强化矿山生产安全过程的环境影响监测，加强对采矿权人履行矿山地质环境保护和治理恢复义务情况的监督检查，对造成重大环境影响的、限期开采，及时消除影响，对拒不履行治理恢复任务的，纳入企业经营异常名录管理；情节严重的，纳入严重违法名单，在国有土地出让和矿业权申请审批中依法予以禁入。将矿山地质环境保护与恢复治理任务落实情况，作为矿业企业信息社会公示和抽检的重要内容，强化社会监督和政府监管。</w:t>
      </w:r>
    </w:p>
    <w:p w14:paraId="5D558A42">
      <w:pPr>
        <w:ind w:firstLine="480"/>
      </w:pPr>
      <w:r>
        <w:rPr>
          <w:rFonts w:hint="eastAsia"/>
        </w:rPr>
        <w:t>坚持改善矿山地质和促进生态良性循环为准则，依靠法规制度、科学进步和管理体制，合理开发利用和有效保护矿产资源，建立与经济社会发展相适应的矿山地质环境保护、监测、监督和防治体系。</w:t>
      </w:r>
    </w:p>
    <w:p w14:paraId="29EAFB6C">
      <w:pPr>
        <w:pStyle w:val="2"/>
      </w:pPr>
      <w:bookmarkStart w:id="22" w:name="_Toc508698472"/>
      <w:r>
        <w:rPr>
          <w:rFonts w:hint="eastAsia"/>
        </w:rPr>
        <w:t>第七章</w:t>
      </w:r>
      <w:r>
        <w:t xml:space="preserve">  </w:t>
      </w:r>
      <w:r>
        <w:rPr>
          <w:rFonts w:hint="eastAsia"/>
        </w:rPr>
        <w:t>积极发展绿色矿业</w:t>
      </w:r>
      <w:bookmarkEnd w:id="22"/>
    </w:p>
    <w:p w14:paraId="77C1ADE5">
      <w:pPr>
        <w:ind w:firstLine="480"/>
      </w:pPr>
      <w:r>
        <w:rPr>
          <w:rFonts w:hint="eastAsia"/>
        </w:rPr>
        <w:t>根据国土资源部财政部环境保护部国家质量监督检验检疫总局中国银行业监督管理委员会中国证券监督管理委员会关于加快建设绿色矿山的实施意见（国土资规</w:t>
      </w:r>
      <w:r>
        <w:t>[2017] 4</w:t>
      </w:r>
      <w:r>
        <w:rPr>
          <w:rFonts w:hint="eastAsia"/>
        </w:rPr>
        <w:t>号），力争到</w:t>
      </w:r>
      <w:r>
        <w:t>2020</w:t>
      </w:r>
      <w:r>
        <w:rPr>
          <w:rFonts w:hint="eastAsia"/>
        </w:rPr>
        <w:t>年，示范区内大中型矿山建设达到绿色矿山建设要求和标准，全面完成转型升级；小型矿山按照绿色矿山建设要求规范管理，做到布局合理、绿色开采。新建矿山全部达到绿色矿山建设要求，生产矿山加快改造升级，逐步达标。</w:t>
      </w:r>
    </w:p>
    <w:p w14:paraId="26D4DE0F">
      <w:pPr>
        <w:ind w:firstLine="480"/>
      </w:pPr>
      <w:r>
        <w:rPr>
          <w:rFonts w:hint="eastAsia"/>
        </w:rPr>
        <w:t>将绿色矿业发展作为矿产资源管理制度改革创新平台，着力发挥政府引导作用，推动技术创新、管理创新和制度创新，集中连片、整体推动全域绿色矿山建设。按照“政府主导、部门协作、企业主体、公众参与、共同推进”的原则。建立完善的绿色矿山标准，鼓励区内绿色矿山建设，发挥政府积极性，落实企业责任，将建设绿色矿山的要求贯穿与矿山规划、设计、建设、运营、闭坑全过程。绿色矿山的建设要求规范管理，做到布局合理、绿色开采。</w:t>
      </w:r>
    </w:p>
    <w:p w14:paraId="37C29837">
      <w:pPr>
        <w:ind w:firstLine="480"/>
      </w:pPr>
      <w:r>
        <w:rPr>
          <w:rFonts w:hint="eastAsia"/>
        </w:rPr>
        <w:t>全面落实资源综合利用、矿山环境保护、节能减排等相关优惠政策，逐步形成有利于绿色矿业发展的政策体系。绿色矿山建设实行“四类”支持政策：一是矿产资源政策支持，从开采总量指标调控、矿业权投放等方面，依法优先向绿色矿山倾斜；二是绿色矿业用地保障，从规划规模、年度安排计划指标、新增采矿用地取得、存量用地使用等方面，支持和保障绿色矿业企业发展的用地需求；三是财政支持，从统筹中央地方财政资金安排、实施高科技术企业税费减免政策等方面，加大对绿色矿山的支持；四是绿色金融扶持，从实施扶持性绿色信贷、支持上市融资、构建征信体系等方面加大支持。</w:t>
      </w:r>
    </w:p>
    <w:p w14:paraId="7D27319B">
      <w:pPr>
        <w:ind w:firstLine="480"/>
      </w:pPr>
    </w:p>
    <w:p w14:paraId="7E584482">
      <w:pPr>
        <w:pStyle w:val="2"/>
      </w:pPr>
      <w:bookmarkStart w:id="23" w:name="_Toc508698473"/>
      <w:r>
        <w:rPr>
          <w:rFonts w:hint="eastAsia"/>
        </w:rPr>
        <w:t>第八章</w:t>
      </w:r>
      <w:r>
        <w:t xml:space="preserve">  </w:t>
      </w:r>
      <w:r>
        <w:rPr>
          <w:rFonts w:hint="eastAsia"/>
        </w:rPr>
        <w:t>矿业权设置区划及监督管理</w:t>
      </w:r>
      <w:bookmarkEnd w:id="23"/>
    </w:p>
    <w:p w14:paraId="72334A70">
      <w:pPr>
        <w:pStyle w:val="3"/>
        <w:spacing w:before="156" w:after="156"/>
      </w:pPr>
      <w:bookmarkStart w:id="24" w:name="_Toc508698474"/>
      <w:r>
        <w:rPr>
          <w:rFonts w:hint="eastAsia"/>
        </w:rPr>
        <w:t>第一节</w:t>
      </w:r>
      <w:r>
        <w:t xml:space="preserve">  </w:t>
      </w:r>
      <w:r>
        <w:rPr>
          <w:rFonts w:hint="eastAsia"/>
        </w:rPr>
        <w:t>矿业权设置区划</w:t>
      </w:r>
      <w:bookmarkEnd w:id="24"/>
    </w:p>
    <w:p w14:paraId="492D0E5E">
      <w:pPr>
        <w:ind w:firstLine="480"/>
      </w:pPr>
      <w:r>
        <w:rPr>
          <w:rFonts w:hint="eastAsia"/>
        </w:rPr>
        <w:t>一、探矿权投放时序安排</w:t>
      </w:r>
    </w:p>
    <w:p w14:paraId="21552001">
      <w:pPr>
        <w:ind w:firstLine="480"/>
      </w:pPr>
      <w:r>
        <w:t>2016</w:t>
      </w:r>
      <w:r>
        <w:rPr>
          <w:rFonts w:hint="eastAsia"/>
        </w:rPr>
        <w:t>年至</w:t>
      </w:r>
      <w:r>
        <w:t>2020</w:t>
      </w:r>
      <w:r>
        <w:rPr>
          <w:rFonts w:hint="eastAsia"/>
        </w:rPr>
        <w:t>年共规划勘查区块</w:t>
      </w:r>
      <w:r>
        <w:t>8</w:t>
      </w:r>
      <w:r>
        <w:rPr>
          <w:rFonts w:hint="eastAsia"/>
        </w:rPr>
        <w:t>个，</w:t>
      </w:r>
      <w:r>
        <w:t>2017-2020</w:t>
      </w:r>
      <w:r>
        <w:rPr>
          <w:rFonts w:hint="eastAsia"/>
        </w:rPr>
        <w:t>年由贵安新区向上级部门提建议以招牌挂形式出让地热水勘查区块投放地热水勘查矿权</w:t>
      </w:r>
      <w:r>
        <w:t>6</w:t>
      </w:r>
      <w:r>
        <w:rPr>
          <w:rFonts w:hint="eastAsia"/>
        </w:rPr>
        <w:t>个。（见专栏</w:t>
      </w:r>
      <w:r>
        <w:t>10</w:t>
      </w:r>
      <w:r>
        <w:rPr>
          <w:rFonts w:hint="eastAsia"/>
        </w:rPr>
        <w:t>、附图</w:t>
      </w:r>
      <w:r>
        <w:t>3</w:t>
      </w:r>
      <w:r>
        <w:rPr>
          <w:rFonts w:hint="eastAsia"/>
        </w:rPr>
        <w:t>）</w:t>
      </w:r>
    </w:p>
    <w:p w14:paraId="3A5DC6A6">
      <w:pPr>
        <w:ind w:firstLine="480"/>
      </w:pPr>
      <w:r>
        <w:rPr>
          <w:rFonts w:hint="eastAsia"/>
        </w:rPr>
        <w:t>二、勘查区块探矿权的出让方式</w:t>
      </w:r>
    </w:p>
    <w:p w14:paraId="06EA5C7E">
      <w:pPr>
        <w:ind w:firstLine="480"/>
      </w:pPr>
      <w:r>
        <w:rPr>
          <w:rFonts w:hint="eastAsia"/>
        </w:rPr>
        <w:t>切实加强勘查区块探矿权管理。勘查许可证权限及探矿权出让管理严格按国土资源部《关于规范勘查许可证采矿许可证权限有关问题的通知》（国土资发</w:t>
      </w:r>
      <w:r>
        <w:t>[2005]200</w:t>
      </w:r>
      <w:r>
        <w:rPr>
          <w:rFonts w:hint="eastAsia"/>
        </w:rPr>
        <w:t>号）和《关于进一步规范矿业权出让管理的通知》（国土资发</w:t>
      </w:r>
      <w:r>
        <w:t>[2006]12</w:t>
      </w:r>
      <w:r>
        <w:rPr>
          <w:rFonts w:hint="eastAsia"/>
        </w:rPr>
        <w:t>号）以及《关于贯彻国土资源部＜关于进一步加强煤炭资源勘查开采管理通知</w:t>
      </w:r>
      <w:r>
        <w:t>&gt;</w:t>
      </w:r>
      <w:r>
        <w:rPr>
          <w:rFonts w:hint="eastAsia"/>
        </w:rPr>
        <w:t>的实施意见（黔国土资发</w:t>
      </w:r>
      <w:r>
        <w:t>[2006]95</w:t>
      </w:r>
      <w:r>
        <w:rPr>
          <w:rFonts w:hint="eastAsia"/>
        </w:rPr>
        <w:t>号）和《关于贯彻国土资源部</w:t>
      </w:r>
      <w:r>
        <w:t>&lt;</w:t>
      </w:r>
      <w:r>
        <w:rPr>
          <w:rFonts w:hint="eastAsia"/>
        </w:rPr>
        <w:t>关于进一步规范矿产权出让管理的通知</w:t>
      </w:r>
      <w:r>
        <w:t>&gt;</w:t>
      </w:r>
      <w:r>
        <w:rPr>
          <w:rFonts w:hint="eastAsia"/>
        </w:rPr>
        <w:t>的意见》（黔国土资发</w:t>
      </w:r>
      <w:r>
        <w:t>[2006]96</w:t>
      </w:r>
      <w:r>
        <w:rPr>
          <w:rFonts w:hint="eastAsia"/>
        </w:rPr>
        <w:t>号）等文件要求执行。</w:t>
      </w:r>
    </w:p>
    <w:p w14:paraId="44168159">
      <w:pPr>
        <w:ind w:firstLine="480"/>
      </w:pPr>
      <w:r>
        <w:rPr>
          <w:rFonts w:hint="eastAsia"/>
        </w:rPr>
        <w:t>三、砂石矿采矿权设置</w:t>
      </w:r>
    </w:p>
    <w:p w14:paraId="7A7F67FF">
      <w:pPr>
        <w:ind w:firstLine="480"/>
      </w:pPr>
      <w:r>
        <w:rPr>
          <w:rFonts w:hint="eastAsia"/>
        </w:rPr>
        <w:t>根据《贵安新区直管区砂石土资源开发规划（</w:t>
      </w:r>
      <w:r>
        <w:t>2014-2020</w:t>
      </w:r>
      <w:r>
        <w:rPr>
          <w:rFonts w:hint="eastAsia"/>
        </w:rPr>
        <w:t>年）》，该规划保留现有矿山马场镇马路村</w:t>
      </w:r>
      <w:r>
        <w:rPr>
          <w:rFonts w:hint="eastAsia" w:ascii="宋体" w:hAnsi="宋体"/>
        </w:rPr>
        <w:t>尖尖坡砂石场</w:t>
      </w:r>
      <w:r>
        <w:rPr>
          <w:rFonts w:hint="eastAsia"/>
        </w:rPr>
        <w:t>采矿权并调整矿区范围至</w:t>
      </w:r>
      <w:r>
        <w:t>0.3322</w:t>
      </w:r>
      <w:r>
        <w:rPr>
          <w:rFonts w:hint="eastAsia"/>
        </w:rPr>
        <w:t>平方公里；新设马场镇白泥田砂石场、马场四村砂石场、马场镇平阳村鹅洞</w:t>
      </w:r>
      <w:r>
        <w:t>1</w:t>
      </w:r>
      <w:r>
        <w:rPr>
          <w:rFonts w:hint="eastAsia"/>
        </w:rPr>
        <w:t>号砂石场、马场镇平阳村鹅洞</w:t>
      </w:r>
      <w:r>
        <w:t>2</w:t>
      </w:r>
      <w:r>
        <w:rPr>
          <w:rFonts w:hint="eastAsia"/>
        </w:rPr>
        <w:t>号砂石场、马场镇塔冒山砂石场</w:t>
      </w:r>
      <w:r>
        <w:t>5</w:t>
      </w:r>
      <w:r>
        <w:rPr>
          <w:rFonts w:hint="eastAsia"/>
        </w:rPr>
        <w:t>个采矿权，上述</w:t>
      </w:r>
      <w:r>
        <w:t>6</w:t>
      </w:r>
      <w:r>
        <w:rPr>
          <w:rFonts w:hint="eastAsia"/>
        </w:rPr>
        <w:t>个采矿权已于</w:t>
      </w:r>
      <w:r>
        <w:t>2016</w:t>
      </w:r>
      <w:r>
        <w:rPr>
          <w:rFonts w:hint="eastAsia"/>
        </w:rPr>
        <w:t>年</w:t>
      </w:r>
      <w:r>
        <w:t>9</w:t>
      </w:r>
      <w:r>
        <w:rPr>
          <w:rFonts w:hint="eastAsia"/>
        </w:rPr>
        <w:t>月</w:t>
      </w:r>
      <w:r>
        <w:t>26</w:t>
      </w:r>
      <w:r>
        <w:rPr>
          <w:rFonts w:hint="eastAsia"/>
        </w:rPr>
        <w:t>日经贵安新区第</w:t>
      </w:r>
      <w:r>
        <w:t>58</w:t>
      </w:r>
      <w:r>
        <w:rPr>
          <w:rFonts w:hint="eastAsia"/>
        </w:rPr>
        <w:t>次主任办公会议审议通过，并报贵州省国土资源厅备案。并且规划的砂石矿采矿权是为安置砂石矿山清理整顿中异地置换的矿山而设置的，属于矿山异地搬迁，非实质性新设。（见专栏</w:t>
      </w:r>
      <w:r>
        <w:t>10</w:t>
      </w:r>
      <w:r>
        <w:rPr>
          <w:rFonts w:hint="eastAsia"/>
        </w:rPr>
        <w:t>、附图</w:t>
      </w:r>
      <w:r>
        <w:t>3</w:t>
      </w:r>
      <w:r>
        <w:rPr>
          <w:rFonts w:hint="eastAsia"/>
        </w:rPr>
        <w:t>）</w:t>
      </w:r>
    </w:p>
    <w:p w14:paraId="4015268F">
      <w:pPr>
        <w:ind w:firstLine="480"/>
      </w:pPr>
    </w:p>
    <w:tbl>
      <w:tblPr>
        <w:tblStyle w:val="1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544"/>
        <w:gridCol w:w="1134"/>
        <w:gridCol w:w="3260"/>
      </w:tblGrid>
      <w:tr w14:paraId="19226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gridSpan w:val="4"/>
            <w:vAlign w:val="center"/>
          </w:tcPr>
          <w:p w14:paraId="0EA317A3">
            <w:pPr>
              <w:ind w:firstLine="0" w:firstLineChars="0"/>
              <w:jc w:val="center"/>
            </w:pPr>
            <w:r>
              <w:rPr>
                <w:rFonts w:hint="eastAsia"/>
              </w:rPr>
              <w:t>专栏</w:t>
            </w:r>
            <w:r>
              <w:t>10</w:t>
            </w:r>
            <w:r>
              <w:rPr>
                <w:rFonts w:hint="eastAsia"/>
              </w:rPr>
              <w:t>贵安新区直管区矿业权设置</w:t>
            </w:r>
          </w:p>
        </w:tc>
      </w:tr>
      <w:tr w14:paraId="09685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20085C1">
            <w:pPr>
              <w:ind w:firstLine="0" w:firstLineChars="0"/>
              <w:jc w:val="center"/>
            </w:pPr>
            <w:r>
              <w:rPr>
                <w:rFonts w:hint="eastAsia"/>
              </w:rPr>
              <w:t>序号</w:t>
            </w:r>
          </w:p>
        </w:tc>
        <w:tc>
          <w:tcPr>
            <w:tcW w:w="3544" w:type="dxa"/>
            <w:vAlign w:val="center"/>
          </w:tcPr>
          <w:p w14:paraId="05DFC18B">
            <w:pPr>
              <w:ind w:firstLine="0" w:firstLineChars="0"/>
              <w:jc w:val="center"/>
            </w:pPr>
            <w:r>
              <w:rPr>
                <w:rFonts w:hint="eastAsia"/>
              </w:rPr>
              <w:t>矿业权设置名称</w:t>
            </w:r>
          </w:p>
        </w:tc>
        <w:tc>
          <w:tcPr>
            <w:tcW w:w="1134" w:type="dxa"/>
            <w:vAlign w:val="center"/>
          </w:tcPr>
          <w:p w14:paraId="4BDCD4E1">
            <w:pPr>
              <w:ind w:firstLine="0" w:firstLineChars="0"/>
              <w:jc w:val="center"/>
            </w:pPr>
            <w:r>
              <w:rPr>
                <w:rFonts w:hint="eastAsia"/>
              </w:rPr>
              <w:t>面积（</w:t>
            </w:r>
            <w:r>
              <w:t>km</w:t>
            </w:r>
            <w:r>
              <w:rPr>
                <w:vertAlign w:val="superscript"/>
              </w:rPr>
              <w:t>2</w:t>
            </w:r>
            <w:r>
              <w:rPr>
                <w:rFonts w:hint="eastAsia"/>
              </w:rPr>
              <w:t>）</w:t>
            </w:r>
          </w:p>
        </w:tc>
        <w:tc>
          <w:tcPr>
            <w:tcW w:w="3260" w:type="dxa"/>
            <w:vAlign w:val="center"/>
          </w:tcPr>
          <w:p w14:paraId="45E2A171">
            <w:pPr>
              <w:ind w:firstLine="0" w:firstLineChars="0"/>
              <w:jc w:val="center"/>
            </w:pPr>
            <w:r>
              <w:rPr>
                <w:rFonts w:hint="eastAsia"/>
              </w:rPr>
              <w:t>备注</w:t>
            </w:r>
          </w:p>
        </w:tc>
      </w:tr>
      <w:tr w14:paraId="3D919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3E01A89">
            <w:pPr>
              <w:pStyle w:val="6"/>
              <w:ind w:right="-175" w:firstLine="0"/>
              <w:jc w:val="center"/>
              <w:rPr>
                <w:rFonts w:ascii="宋体"/>
              </w:rPr>
            </w:pPr>
            <w:r>
              <w:rPr>
                <w:rFonts w:ascii="宋体" w:hAnsi="宋体"/>
              </w:rPr>
              <w:t>CG01</w:t>
            </w:r>
          </w:p>
        </w:tc>
        <w:tc>
          <w:tcPr>
            <w:tcW w:w="3544" w:type="dxa"/>
          </w:tcPr>
          <w:p w14:paraId="358B475A">
            <w:pPr>
              <w:pStyle w:val="6"/>
              <w:ind w:right="-175" w:firstLine="0"/>
              <w:jc w:val="center"/>
              <w:rPr>
                <w:rFonts w:ascii="宋体"/>
              </w:rPr>
            </w:pPr>
            <w:r>
              <w:rPr>
                <w:rFonts w:hint="eastAsia"/>
              </w:rPr>
              <w:t>马场镇马路村</w:t>
            </w:r>
            <w:r>
              <w:rPr>
                <w:rFonts w:hint="eastAsia" w:ascii="宋体" w:hAnsi="宋体"/>
              </w:rPr>
              <w:t>尖尖坡砂石场</w:t>
            </w:r>
            <w:r>
              <w:rPr>
                <w:rFonts w:hint="eastAsia"/>
              </w:rPr>
              <w:t>采矿权</w:t>
            </w:r>
          </w:p>
        </w:tc>
        <w:tc>
          <w:tcPr>
            <w:tcW w:w="1134" w:type="dxa"/>
            <w:vAlign w:val="center"/>
          </w:tcPr>
          <w:p w14:paraId="16F3BCBC">
            <w:pPr>
              <w:ind w:firstLine="0" w:firstLineChars="0"/>
              <w:jc w:val="center"/>
            </w:pPr>
            <w:r>
              <w:t>0.3322</w:t>
            </w:r>
          </w:p>
        </w:tc>
        <w:tc>
          <w:tcPr>
            <w:tcW w:w="3260" w:type="dxa"/>
            <w:vAlign w:val="center"/>
          </w:tcPr>
          <w:p w14:paraId="27E9EC48">
            <w:pPr>
              <w:ind w:firstLine="0" w:firstLineChars="0"/>
              <w:jc w:val="center"/>
            </w:pPr>
            <w:r>
              <w:rPr>
                <w:rFonts w:hint="eastAsia"/>
              </w:rPr>
              <w:t>尖尖坡建筑用砂开采规划区</w:t>
            </w:r>
          </w:p>
        </w:tc>
      </w:tr>
      <w:tr w14:paraId="2023E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63D10A1">
            <w:pPr>
              <w:pStyle w:val="6"/>
              <w:spacing w:line="320" w:lineRule="exact"/>
              <w:ind w:right="-175" w:firstLine="0"/>
              <w:jc w:val="center"/>
              <w:rPr>
                <w:rFonts w:ascii="宋体"/>
              </w:rPr>
            </w:pPr>
            <w:r>
              <w:rPr>
                <w:rFonts w:ascii="宋体" w:hAnsi="宋体"/>
              </w:rPr>
              <w:t>CG02</w:t>
            </w:r>
          </w:p>
        </w:tc>
        <w:tc>
          <w:tcPr>
            <w:tcW w:w="3544" w:type="dxa"/>
          </w:tcPr>
          <w:p w14:paraId="40A8E8E6">
            <w:pPr>
              <w:pStyle w:val="6"/>
              <w:ind w:right="-175" w:firstLine="0"/>
              <w:jc w:val="center"/>
              <w:rPr>
                <w:rFonts w:ascii="宋体"/>
              </w:rPr>
            </w:pPr>
            <w:r>
              <w:rPr>
                <w:rFonts w:hint="eastAsia"/>
              </w:rPr>
              <w:t>马场镇白泥田砂石场采矿权</w:t>
            </w:r>
          </w:p>
        </w:tc>
        <w:tc>
          <w:tcPr>
            <w:tcW w:w="1134" w:type="dxa"/>
            <w:vAlign w:val="center"/>
          </w:tcPr>
          <w:p w14:paraId="4EE7E1DA">
            <w:pPr>
              <w:ind w:firstLine="0" w:firstLineChars="0"/>
              <w:jc w:val="center"/>
            </w:pPr>
            <w:r>
              <w:t>0.86</w:t>
            </w:r>
          </w:p>
        </w:tc>
        <w:tc>
          <w:tcPr>
            <w:tcW w:w="3260" w:type="dxa"/>
            <w:vAlign w:val="center"/>
          </w:tcPr>
          <w:p w14:paraId="4467F046">
            <w:pPr>
              <w:ind w:firstLine="0" w:firstLineChars="0"/>
              <w:jc w:val="center"/>
            </w:pPr>
            <w:r>
              <w:rPr>
                <w:rFonts w:hint="eastAsia"/>
              </w:rPr>
              <w:t>白泥田建筑用砂开采规划区</w:t>
            </w:r>
          </w:p>
        </w:tc>
      </w:tr>
      <w:tr w14:paraId="6D516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40D9C64">
            <w:pPr>
              <w:pStyle w:val="6"/>
              <w:spacing w:line="320" w:lineRule="exact"/>
              <w:ind w:right="-175" w:firstLine="0"/>
              <w:jc w:val="center"/>
              <w:rPr>
                <w:rFonts w:ascii="宋体"/>
              </w:rPr>
            </w:pPr>
            <w:r>
              <w:rPr>
                <w:rFonts w:ascii="宋体" w:hAnsi="宋体"/>
              </w:rPr>
              <w:t>CG03</w:t>
            </w:r>
          </w:p>
        </w:tc>
        <w:tc>
          <w:tcPr>
            <w:tcW w:w="3544" w:type="dxa"/>
          </w:tcPr>
          <w:p w14:paraId="056D7BD7">
            <w:pPr>
              <w:pStyle w:val="6"/>
              <w:ind w:right="-175" w:firstLine="0"/>
              <w:jc w:val="center"/>
              <w:rPr>
                <w:rFonts w:ascii="宋体"/>
              </w:rPr>
            </w:pPr>
            <w:r>
              <w:rPr>
                <w:rFonts w:hint="eastAsia"/>
              </w:rPr>
              <w:t>马场镇平阳村鹅洞</w:t>
            </w:r>
            <w:r>
              <w:t>1</w:t>
            </w:r>
            <w:r>
              <w:rPr>
                <w:rFonts w:hint="eastAsia"/>
              </w:rPr>
              <w:t>号砂石场采矿权</w:t>
            </w:r>
          </w:p>
        </w:tc>
        <w:tc>
          <w:tcPr>
            <w:tcW w:w="1134" w:type="dxa"/>
            <w:vAlign w:val="center"/>
          </w:tcPr>
          <w:p w14:paraId="4FEFF1F7">
            <w:pPr>
              <w:ind w:firstLine="0" w:firstLineChars="0"/>
              <w:jc w:val="center"/>
            </w:pPr>
            <w:r>
              <w:t>0.31</w:t>
            </w:r>
          </w:p>
        </w:tc>
        <w:tc>
          <w:tcPr>
            <w:tcW w:w="3260" w:type="dxa"/>
            <w:vMerge w:val="restart"/>
            <w:vAlign w:val="center"/>
          </w:tcPr>
          <w:p w14:paraId="4B218917">
            <w:pPr>
              <w:ind w:firstLine="0" w:firstLineChars="0"/>
              <w:jc w:val="center"/>
            </w:pPr>
            <w:r>
              <w:rPr>
                <w:rFonts w:hint="eastAsia"/>
              </w:rPr>
              <w:t>鹅洞建筑用砂开采规划区</w:t>
            </w:r>
          </w:p>
        </w:tc>
      </w:tr>
      <w:tr w14:paraId="0AE34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E091C64">
            <w:pPr>
              <w:pStyle w:val="6"/>
              <w:spacing w:line="320" w:lineRule="exact"/>
              <w:ind w:right="-175" w:firstLine="0"/>
              <w:jc w:val="center"/>
              <w:rPr>
                <w:rFonts w:ascii="宋体"/>
              </w:rPr>
            </w:pPr>
            <w:r>
              <w:rPr>
                <w:rFonts w:ascii="宋体" w:hAnsi="宋体"/>
              </w:rPr>
              <w:t>CG04</w:t>
            </w:r>
          </w:p>
        </w:tc>
        <w:tc>
          <w:tcPr>
            <w:tcW w:w="3544" w:type="dxa"/>
          </w:tcPr>
          <w:p w14:paraId="1B324B5C">
            <w:pPr>
              <w:pStyle w:val="6"/>
              <w:ind w:right="-175" w:firstLine="0"/>
              <w:jc w:val="center"/>
              <w:rPr>
                <w:rFonts w:ascii="宋体"/>
              </w:rPr>
            </w:pPr>
            <w:r>
              <w:rPr>
                <w:rFonts w:hint="eastAsia"/>
              </w:rPr>
              <w:t>马场镇平阳村鹅洞</w:t>
            </w:r>
            <w:r>
              <w:t>2</w:t>
            </w:r>
            <w:r>
              <w:rPr>
                <w:rFonts w:hint="eastAsia"/>
              </w:rPr>
              <w:t>号砂石场采矿权</w:t>
            </w:r>
          </w:p>
        </w:tc>
        <w:tc>
          <w:tcPr>
            <w:tcW w:w="1134" w:type="dxa"/>
            <w:vAlign w:val="center"/>
          </w:tcPr>
          <w:p w14:paraId="0F1349F5">
            <w:pPr>
              <w:ind w:firstLine="0" w:firstLineChars="0"/>
              <w:jc w:val="center"/>
            </w:pPr>
            <w:r>
              <w:t>0.11</w:t>
            </w:r>
          </w:p>
        </w:tc>
        <w:tc>
          <w:tcPr>
            <w:tcW w:w="3260" w:type="dxa"/>
            <w:vMerge w:val="continue"/>
            <w:vAlign w:val="center"/>
          </w:tcPr>
          <w:p w14:paraId="238D0C66">
            <w:pPr>
              <w:ind w:firstLine="0" w:firstLineChars="0"/>
              <w:jc w:val="center"/>
            </w:pPr>
          </w:p>
        </w:tc>
      </w:tr>
      <w:tr w14:paraId="7838D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BD46724">
            <w:pPr>
              <w:pStyle w:val="6"/>
              <w:spacing w:line="320" w:lineRule="exact"/>
              <w:ind w:right="-175" w:firstLine="0"/>
              <w:jc w:val="center"/>
              <w:rPr>
                <w:rFonts w:ascii="宋体"/>
              </w:rPr>
            </w:pPr>
            <w:r>
              <w:rPr>
                <w:rFonts w:ascii="宋体" w:hAnsi="宋体"/>
              </w:rPr>
              <w:t>CG05</w:t>
            </w:r>
          </w:p>
        </w:tc>
        <w:tc>
          <w:tcPr>
            <w:tcW w:w="3544" w:type="dxa"/>
          </w:tcPr>
          <w:p w14:paraId="651E1B30">
            <w:pPr>
              <w:pStyle w:val="6"/>
              <w:ind w:right="-175" w:firstLine="0"/>
              <w:jc w:val="center"/>
              <w:rPr>
                <w:rFonts w:ascii="宋体"/>
              </w:rPr>
            </w:pPr>
            <w:r>
              <w:rPr>
                <w:rFonts w:hint="eastAsia"/>
              </w:rPr>
              <w:t>马场镇塔冒山砂石场采矿权</w:t>
            </w:r>
          </w:p>
        </w:tc>
        <w:tc>
          <w:tcPr>
            <w:tcW w:w="1134" w:type="dxa"/>
            <w:vAlign w:val="center"/>
          </w:tcPr>
          <w:p w14:paraId="7147BEE2">
            <w:pPr>
              <w:ind w:firstLine="0" w:firstLineChars="0"/>
              <w:jc w:val="center"/>
            </w:pPr>
            <w:r>
              <w:t>0.13</w:t>
            </w:r>
          </w:p>
        </w:tc>
        <w:tc>
          <w:tcPr>
            <w:tcW w:w="3260" w:type="dxa"/>
            <w:vAlign w:val="center"/>
          </w:tcPr>
          <w:p w14:paraId="6E586755">
            <w:pPr>
              <w:ind w:firstLine="0" w:firstLineChars="0"/>
              <w:jc w:val="center"/>
            </w:pPr>
            <w:r>
              <w:rPr>
                <w:rFonts w:hint="eastAsia"/>
              </w:rPr>
              <w:t>塔帽山建筑用砂开采区</w:t>
            </w:r>
          </w:p>
        </w:tc>
      </w:tr>
      <w:tr w14:paraId="65FBF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97F1FED">
            <w:pPr>
              <w:pStyle w:val="6"/>
              <w:spacing w:line="320" w:lineRule="exact"/>
              <w:ind w:right="-175" w:firstLine="0"/>
              <w:jc w:val="center"/>
              <w:rPr>
                <w:rFonts w:ascii="宋体"/>
              </w:rPr>
            </w:pPr>
            <w:r>
              <w:rPr>
                <w:rFonts w:ascii="宋体" w:hAnsi="宋体"/>
              </w:rPr>
              <w:t>KQ01</w:t>
            </w:r>
          </w:p>
        </w:tc>
        <w:tc>
          <w:tcPr>
            <w:tcW w:w="3544" w:type="dxa"/>
            <w:vAlign w:val="center"/>
          </w:tcPr>
          <w:p w14:paraId="1A1F9F2F">
            <w:pPr>
              <w:spacing w:line="240" w:lineRule="auto"/>
              <w:ind w:firstLine="0" w:firstLineChars="0"/>
              <w:jc w:val="center"/>
            </w:pPr>
            <w:r>
              <w:rPr>
                <w:rFonts w:hint="eastAsia"/>
              </w:rPr>
              <w:t>贵州省贵安新区高峰镇七甲堡地热水勘查</w:t>
            </w:r>
          </w:p>
        </w:tc>
        <w:tc>
          <w:tcPr>
            <w:tcW w:w="1134" w:type="dxa"/>
            <w:vAlign w:val="center"/>
          </w:tcPr>
          <w:p w14:paraId="5AED31C4">
            <w:pPr>
              <w:ind w:firstLine="0" w:firstLineChars="0"/>
              <w:jc w:val="center"/>
            </w:pPr>
            <w:r>
              <w:t>4.1</w:t>
            </w:r>
          </w:p>
        </w:tc>
        <w:tc>
          <w:tcPr>
            <w:tcW w:w="3260" w:type="dxa"/>
            <w:vMerge w:val="restart"/>
            <w:vAlign w:val="center"/>
          </w:tcPr>
          <w:p w14:paraId="4F112967">
            <w:pPr>
              <w:ind w:firstLine="120" w:firstLineChars="50"/>
              <w:jc w:val="center"/>
            </w:pPr>
            <w:r>
              <w:rPr>
                <w:rFonts w:hint="eastAsia"/>
              </w:rPr>
              <w:t>新设探矿权</w:t>
            </w:r>
          </w:p>
        </w:tc>
      </w:tr>
      <w:tr w14:paraId="6341B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8C8A760">
            <w:pPr>
              <w:pStyle w:val="6"/>
              <w:spacing w:line="320" w:lineRule="exact"/>
              <w:ind w:right="-175" w:firstLine="0"/>
              <w:jc w:val="center"/>
              <w:rPr>
                <w:rFonts w:ascii="宋体"/>
              </w:rPr>
            </w:pPr>
            <w:r>
              <w:rPr>
                <w:rFonts w:ascii="宋体" w:hAnsi="宋体"/>
              </w:rPr>
              <w:t>KQ02</w:t>
            </w:r>
          </w:p>
        </w:tc>
        <w:tc>
          <w:tcPr>
            <w:tcW w:w="3544" w:type="dxa"/>
            <w:vAlign w:val="center"/>
          </w:tcPr>
          <w:p w14:paraId="3C16BBD8">
            <w:pPr>
              <w:spacing w:line="240" w:lineRule="auto"/>
              <w:ind w:firstLine="0" w:firstLineChars="0"/>
              <w:jc w:val="center"/>
            </w:pPr>
            <w:r>
              <w:rPr>
                <w:rFonts w:hint="eastAsia"/>
              </w:rPr>
              <w:t>贵州省贵安新区高峰镇排山地热水勘查</w:t>
            </w:r>
          </w:p>
        </w:tc>
        <w:tc>
          <w:tcPr>
            <w:tcW w:w="1134" w:type="dxa"/>
            <w:vAlign w:val="center"/>
          </w:tcPr>
          <w:p w14:paraId="3F077908">
            <w:pPr>
              <w:ind w:firstLine="0" w:firstLineChars="0"/>
              <w:jc w:val="center"/>
            </w:pPr>
            <w:r>
              <w:t>3.32</w:t>
            </w:r>
          </w:p>
        </w:tc>
        <w:tc>
          <w:tcPr>
            <w:tcW w:w="3260" w:type="dxa"/>
            <w:vMerge w:val="continue"/>
            <w:vAlign w:val="center"/>
          </w:tcPr>
          <w:p w14:paraId="45298EE7">
            <w:pPr>
              <w:ind w:firstLine="0" w:firstLineChars="0"/>
              <w:jc w:val="center"/>
            </w:pPr>
          </w:p>
        </w:tc>
      </w:tr>
      <w:tr w14:paraId="75BA5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DFB1CDE">
            <w:pPr>
              <w:pStyle w:val="6"/>
              <w:spacing w:line="320" w:lineRule="exact"/>
              <w:ind w:right="-175" w:firstLine="0"/>
              <w:jc w:val="center"/>
              <w:rPr>
                <w:rFonts w:ascii="宋体"/>
              </w:rPr>
            </w:pPr>
            <w:r>
              <w:rPr>
                <w:rFonts w:ascii="宋体" w:hAnsi="宋体"/>
              </w:rPr>
              <w:t>KQ03</w:t>
            </w:r>
          </w:p>
        </w:tc>
        <w:tc>
          <w:tcPr>
            <w:tcW w:w="3544" w:type="dxa"/>
            <w:vAlign w:val="center"/>
          </w:tcPr>
          <w:p w14:paraId="16F8684C">
            <w:pPr>
              <w:spacing w:line="240" w:lineRule="auto"/>
              <w:ind w:firstLine="0" w:firstLineChars="0"/>
              <w:jc w:val="center"/>
            </w:pPr>
            <w:r>
              <w:rPr>
                <w:rFonts w:hint="eastAsia"/>
              </w:rPr>
              <w:t>贵州省贵安新区马场镇新寨地热水勘查</w:t>
            </w:r>
          </w:p>
        </w:tc>
        <w:tc>
          <w:tcPr>
            <w:tcW w:w="1134" w:type="dxa"/>
            <w:vAlign w:val="center"/>
          </w:tcPr>
          <w:p w14:paraId="4A435DAD">
            <w:pPr>
              <w:ind w:firstLine="0" w:firstLineChars="0"/>
              <w:jc w:val="center"/>
            </w:pPr>
            <w:r>
              <w:t>3.33</w:t>
            </w:r>
          </w:p>
        </w:tc>
        <w:tc>
          <w:tcPr>
            <w:tcW w:w="3260" w:type="dxa"/>
            <w:vMerge w:val="continue"/>
            <w:vAlign w:val="center"/>
          </w:tcPr>
          <w:p w14:paraId="01E0A315">
            <w:pPr>
              <w:ind w:firstLine="0" w:firstLineChars="0"/>
              <w:jc w:val="center"/>
            </w:pPr>
          </w:p>
        </w:tc>
      </w:tr>
      <w:tr w14:paraId="57273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035FE61">
            <w:pPr>
              <w:pStyle w:val="6"/>
              <w:spacing w:line="320" w:lineRule="exact"/>
              <w:ind w:right="-175" w:firstLine="0"/>
              <w:jc w:val="center"/>
              <w:rPr>
                <w:rFonts w:ascii="宋体"/>
              </w:rPr>
            </w:pPr>
            <w:r>
              <w:rPr>
                <w:rFonts w:ascii="宋体" w:hAnsi="宋体"/>
              </w:rPr>
              <w:t>KQ04</w:t>
            </w:r>
          </w:p>
        </w:tc>
        <w:tc>
          <w:tcPr>
            <w:tcW w:w="3544" w:type="dxa"/>
            <w:vAlign w:val="center"/>
          </w:tcPr>
          <w:p w14:paraId="6FC30A90">
            <w:pPr>
              <w:spacing w:line="240" w:lineRule="auto"/>
              <w:ind w:firstLine="0" w:firstLineChars="0"/>
              <w:jc w:val="center"/>
            </w:pPr>
            <w:r>
              <w:rPr>
                <w:rFonts w:hint="eastAsia"/>
              </w:rPr>
              <w:t>贵州省贵安新区高峰镇货郎地热水勘查</w:t>
            </w:r>
          </w:p>
        </w:tc>
        <w:tc>
          <w:tcPr>
            <w:tcW w:w="1134" w:type="dxa"/>
            <w:vAlign w:val="center"/>
          </w:tcPr>
          <w:p w14:paraId="629B9903">
            <w:pPr>
              <w:ind w:firstLine="0" w:firstLineChars="0"/>
              <w:jc w:val="center"/>
            </w:pPr>
            <w:r>
              <w:t>2.18</w:t>
            </w:r>
          </w:p>
        </w:tc>
        <w:tc>
          <w:tcPr>
            <w:tcW w:w="3260" w:type="dxa"/>
            <w:vMerge w:val="continue"/>
            <w:vAlign w:val="center"/>
          </w:tcPr>
          <w:p w14:paraId="239CF49E">
            <w:pPr>
              <w:ind w:firstLine="0" w:firstLineChars="0"/>
              <w:jc w:val="center"/>
            </w:pPr>
          </w:p>
        </w:tc>
      </w:tr>
      <w:tr w14:paraId="1EAA9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8600890">
            <w:pPr>
              <w:pStyle w:val="6"/>
              <w:spacing w:line="320" w:lineRule="exact"/>
              <w:ind w:right="-175" w:firstLine="0"/>
              <w:jc w:val="center"/>
              <w:rPr>
                <w:rFonts w:ascii="宋体"/>
              </w:rPr>
            </w:pPr>
            <w:r>
              <w:rPr>
                <w:rFonts w:ascii="宋体" w:hAnsi="宋体"/>
              </w:rPr>
              <w:t>KQ05</w:t>
            </w:r>
          </w:p>
        </w:tc>
        <w:tc>
          <w:tcPr>
            <w:tcW w:w="3544" w:type="dxa"/>
            <w:vAlign w:val="center"/>
          </w:tcPr>
          <w:p w14:paraId="73116347">
            <w:pPr>
              <w:spacing w:line="240" w:lineRule="auto"/>
              <w:ind w:firstLine="0" w:firstLineChars="0"/>
              <w:jc w:val="center"/>
            </w:pPr>
            <w:r>
              <w:rPr>
                <w:rFonts w:hint="eastAsia"/>
              </w:rPr>
              <w:t>贵州省贵安新区高峰镇新寨地热水勘查</w:t>
            </w:r>
          </w:p>
        </w:tc>
        <w:tc>
          <w:tcPr>
            <w:tcW w:w="1134" w:type="dxa"/>
            <w:vAlign w:val="center"/>
          </w:tcPr>
          <w:p w14:paraId="7CAE0A18">
            <w:pPr>
              <w:ind w:firstLine="0" w:firstLineChars="0"/>
              <w:jc w:val="center"/>
            </w:pPr>
            <w:r>
              <w:t>2.95</w:t>
            </w:r>
          </w:p>
        </w:tc>
        <w:tc>
          <w:tcPr>
            <w:tcW w:w="3260" w:type="dxa"/>
            <w:vMerge w:val="continue"/>
            <w:vAlign w:val="center"/>
          </w:tcPr>
          <w:p w14:paraId="014A5E23">
            <w:pPr>
              <w:ind w:firstLine="0" w:firstLineChars="0"/>
              <w:jc w:val="center"/>
            </w:pPr>
          </w:p>
        </w:tc>
      </w:tr>
      <w:tr w14:paraId="6C82E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9D30400">
            <w:pPr>
              <w:pStyle w:val="6"/>
              <w:spacing w:line="320" w:lineRule="exact"/>
              <w:ind w:right="-175" w:firstLine="0"/>
              <w:jc w:val="center"/>
              <w:rPr>
                <w:rFonts w:ascii="宋体"/>
              </w:rPr>
            </w:pPr>
            <w:r>
              <w:rPr>
                <w:rFonts w:ascii="宋体" w:hAnsi="宋体"/>
              </w:rPr>
              <w:t>KQ06</w:t>
            </w:r>
          </w:p>
        </w:tc>
        <w:tc>
          <w:tcPr>
            <w:tcW w:w="3544" w:type="dxa"/>
            <w:vAlign w:val="center"/>
          </w:tcPr>
          <w:p w14:paraId="084B645C">
            <w:pPr>
              <w:spacing w:line="240" w:lineRule="auto"/>
              <w:ind w:firstLine="0" w:firstLineChars="0"/>
              <w:jc w:val="center"/>
            </w:pPr>
            <w:r>
              <w:rPr>
                <w:rFonts w:hint="eastAsia"/>
              </w:rPr>
              <w:t>贵州省贵安新区高峰镇东吹地热水勘查</w:t>
            </w:r>
          </w:p>
        </w:tc>
        <w:tc>
          <w:tcPr>
            <w:tcW w:w="1134" w:type="dxa"/>
            <w:vAlign w:val="center"/>
          </w:tcPr>
          <w:p w14:paraId="16FFD611">
            <w:pPr>
              <w:ind w:firstLine="0" w:firstLineChars="0"/>
              <w:jc w:val="center"/>
            </w:pPr>
            <w:r>
              <w:t>1.02</w:t>
            </w:r>
          </w:p>
        </w:tc>
        <w:tc>
          <w:tcPr>
            <w:tcW w:w="3260" w:type="dxa"/>
            <w:vMerge w:val="continue"/>
            <w:vAlign w:val="center"/>
          </w:tcPr>
          <w:p w14:paraId="7CB12825">
            <w:pPr>
              <w:ind w:firstLine="0" w:firstLineChars="0"/>
              <w:jc w:val="center"/>
            </w:pPr>
          </w:p>
        </w:tc>
      </w:tr>
    </w:tbl>
    <w:p w14:paraId="5CD94E29">
      <w:pPr>
        <w:pStyle w:val="3"/>
        <w:spacing w:before="156" w:after="156"/>
      </w:pPr>
      <w:bookmarkStart w:id="25" w:name="_Toc508698475"/>
      <w:r>
        <w:rPr>
          <w:rFonts w:hint="eastAsia"/>
        </w:rPr>
        <w:t>第二节</w:t>
      </w:r>
      <w:r>
        <w:t xml:space="preserve">  </w:t>
      </w:r>
      <w:r>
        <w:rPr>
          <w:rFonts w:hint="eastAsia"/>
        </w:rPr>
        <w:t>严格勘查开发监管管理</w:t>
      </w:r>
      <w:bookmarkEnd w:id="25"/>
    </w:p>
    <w:p w14:paraId="210A9D5C">
      <w:pPr>
        <w:ind w:firstLine="482"/>
        <w:rPr>
          <w:b/>
        </w:rPr>
      </w:pPr>
      <w:r>
        <w:rPr>
          <w:rFonts w:hint="eastAsia"/>
          <w:b/>
        </w:rPr>
        <w:t>一、矿产资源勘查监管管理</w:t>
      </w:r>
    </w:p>
    <w:p w14:paraId="3525A2CD">
      <w:pPr>
        <w:ind w:firstLine="480"/>
      </w:pPr>
      <w:r>
        <w:rPr>
          <w:rFonts w:hint="eastAsia"/>
        </w:rPr>
        <w:t>对辖区内的矿产资源勘查活动进行调查和监督，调查探矿权人获得探矿权后是否按照勘查登记的范围、行为、时间、矿种、勘查施工单位进行勘查活动；是否按照提交的勘查实施方案施工；勘查期内是否完成了最低勘查资金投入；探矿权是否受到侵犯。</w:t>
      </w:r>
    </w:p>
    <w:p w14:paraId="26DC30E4">
      <w:pPr>
        <w:ind w:firstLine="480"/>
      </w:pPr>
      <w:r>
        <w:rPr>
          <w:rFonts w:hint="eastAsia"/>
        </w:rPr>
        <w:t>监督探矿权人是否遵守《贵州省地质矿产勘查管理条例》，严格按勘查登记的内容进行勘查。对探矿权人是否存在越境勘查、擅自布设开采工程、任意扩大勘查工作断面，非法采矿，以承包勘查工程为名非法转让探矿权，以探矿权登记多占地盘，未经批准擅自滚动勘查开发，边探边采或试验开采等非法行为进行监督。</w:t>
      </w:r>
    </w:p>
    <w:p w14:paraId="0EBB1C90">
      <w:pPr>
        <w:ind w:firstLine="482"/>
        <w:rPr>
          <w:b/>
        </w:rPr>
      </w:pPr>
      <w:r>
        <w:rPr>
          <w:rFonts w:hint="eastAsia"/>
          <w:b/>
        </w:rPr>
        <w:t>二、矿产资源开发利用监管管理</w:t>
      </w:r>
    </w:p>
    <w:p w14:paraId="1340DD2E">
      <w:pPr>
        <w:ind w:firstLine="480"/>
      </w:pPr>
      <w:r>
        <w:rPr>
          <w:rFonts w:hint="eastAsia"/>
        </w:rPr>
        <w:t>主要为对矿产资源储量的新增、变动、注销情况进行管理和监督。</w:t>
      </w:r>
    </w:p>
    <w:p w14:paraId="4137BB64">
      <w:pPr>
        <w:ind w:firstLine="480"/>
      </w:pPr>
      <w:r>
        <w:rPr>
          <w:rFonts w:hint="eastAsia"/>
        </w:rPr>
        <w:t>矿山开采活动中，每年矿山生产勘探形成的累计探明储量和开采消耗储量的计算应该以地质资料为依据，按规范要求进行储量计算。储量年报中累计探明资源储量、开采消耗资源储量和保有资源储量必须平衡，对于不平衡的应检查核实。储量变化核实结果应及时进入矿产资源储量数据库及矿产资源储量管理系统，随时修正储量数据，对储量消耗突破指标的情况发出预警。</w:t>
      </w:r>
    </w:p>
    <w:p w14:paraId="47DC248F">
      <w:pPr>
        <w:ind w:firstLine="482"/>
        <w:rPr>
          <w:b/>
        </w:rPr>
      </w:pPr>
      <w:r>
        <w:rPr>
          <w:rFonts w:hint="eastAsia"/>
          <w:b/>
        </w:rPr>
        <w:t>三、矿山环境保护与治理恢复监管管理</w:t>
      </w:r>
    </w:p>
    <w:p w14:paraId="17CF7D61">
      <w:pPr>
        <w:ind w:firstLine="480"/>
      </w:pPr>
      <w:r>
        <w:t>1</w:t>
      </w:r>
      <w:r>
        <w:rPr>
          <w:rFonts w:hint="eastAsia"/>
        </w:rPr>
        <w:t>、在直管区内矿山企业设置监测点，建立或聘请专业监测队伍定期或不定期专门对地质灾害、水环境破坏情况、地质地貌景观和植被情况等矿山地质环境问题进行监测预警预报，及时掌握矿山地质环境问题情况；</w:t>
      </w:r>
    </w:p>
    <w:p w14:paraId="1675DA87">
      <w:pPr>
        <w:ind w:firstLine="480"/>
      </w:pPr>
      <w:r>
        <w:t>2</w:t>
      </w:r>
      <w:r>
        <w:rPr>
          <w:rFonts w:hint="eastAsia"/>
        </w:rPr>
        <w:t>、建立健全直管区内矿山地质环境问题预警预报体制机制，提高政府和全民抗灾防灾意识和能力；</w:t>
      </w:r>
    </w:p>
    <w:p w14:paraId="7E261B9C">
      <w:pPr>
        <w:ind w:firstLine="480"/>
      </w:pPr>
      <w:r>
        <w:t>3</w:t>
      </w:r>
      <w:r>
        <w:rPr>
          <w:rFonts w:hint="eastAsia"/>
        </w:rPr>
        <w:t>、建立健全完善矿山地质环境监测网络，建立矿山地质环境信息空间数据库和管理信息系统，为矿山地质环境监测与恢复治理提供信息支持。</w:t>
      </w:r>
    </w:p>
    <w:p w14:paraId="025049E1">
      <w:pPr>
        <w:ind w:firstLine="480"/>
      </w:pPr>
      <w:r>
        <w:t>4</w:t>
      </w:r>
      <w:r>
        <w:rPr>
          <w:rFonts w:hint="eastAsia"/>
        </w:rPr>
        <w:t>、矿山企业通过建立基金的方式，筹集治理恢复资金。需在其银行账户中设立基金账户，单独反映基金的提取情况。基金由企业自主使用，根据其矿山地质环境保护与土地复垦方案确定的经费预算、工程实施计划、进度安排等，专项用于因矿产资源勘查开采活动造成的矿区地面塌陷、地裂缝、崩塌、滑坡、地形地貌景观破坏，地下含水层破坏、地表植被损毁预防和修复治理等方面。矿山企业的基金提取、使用及矿山地质环境保护与治理恢复方案的执行情况需列入矿业权人勘查开采信息公示系统。</w:t>
      </w:r>
    </w:p>
    <w:p w14:paraId="24A78362">
      <w:pPr>
        <w:ind w:firstLine="482"/>
        <w:rPr>
          <w:b/>
        </w:rPr>
      </w:pPr>
      <w:r>
        <w:rPr>
          <w:rFonts w:hint="eastAsia"/>
          <w:b/>
        </w:rPr>
        <w:t>四、矿业权的监督管理</w:t>
      </w:r>
    </w:p>
    <w:p w14:paraId="2B41449D">
      <w:pPr>
        <w:ind w:firstLine="482"/>
        <w:rPr>
          <w:b/>
        </w:rPr>
      </w:pPr>
      <w:r>
        <w:rPr>
          <w:b/>
        </w:rPr>
        <w:t>1</w:t>
      </w:r>
      <w:r>
        <w:rPr>
          <w:rFonts w:hint="eastAsia"/>
          <w:b/>
        </w:rPr>
        <w:t>、加强规划实施监督及矿政管理监测</w:t>
      </w:r>
    </w:p>
    <w:p w14:paraId="4D084B7F">
      <w:pPr>
        <w:ind w:firstLine="480"/>
      </w:pPr>
      <w:r>
        <w:rPr>
          <w:rFonts w:hint="eastAsia"/>
        </w:rPr>
        <w:t>本各级政府和部门必须高度重视矿产资源规划的实施。并将矿产资源规划确定的目标任务纳入政府及相关部门的管理目标，把矿产资源规划的年度执行情况和规划期执行情况作为考核评价主要领导和有关部门工作业绩的重要依据。有关单位、组织、企业和个人要自觉履行法定义务，支持和配合矿产资源规划的实施工作。</w:t>
      </w:r>
    </w:p>
    <w:p w14:paraId="66DCD2E5">
      <w:pPr>
        <w:ind w:firstLine="480"/>
      </w:pPr>
      <w:r>
        <w:rPr>
          <w:rFonts w:hint="eastAsia"/>
        </w:rPr>
        <w:t>要对矿产资源开发项目进行审查。加强矿产资源开发项目的规划论证，规范矿业权设置方案和项目规划方案。要严把项目立项审批关。</w:t>
      </w:r>
    </w:p>
    <w:p w14:paraId="3B3B84A6">
      <w:pPr>
        <w:ind w:firstLine="480"/>
      </w:pPr>
      <w:r>
        <w:rPr>
          <w:rFonts w:hint="eastAsia"/>
        </w:rPr>
        <w:t>对矿产资源开采实施年度计划管理，对开采总量调控矿种总量指标实行指令性管理，对矿山企业以实际开采数着为考核依据，矿山企业超计划将扣减下一年度生产指标；对矿业权投放总量要实施年度分类编计划，分别考核，优先安排纳入年度计划的矿产资源勘查、开采项目。</w:t>
      </w:r>
    </w:p>
    <w:p w14:paraId="1376547B">
      <w:pPr>
        <w:ind w:firstLine="480"/>
      </w:pPr>
      <w:r>
        <w:rPr>
          <w:rFonts w:hint="eastAsia"/>
        </w:rPr>
        <w:t>深入开展整顿和规范矿产资源开发秩序，遏制违法违规开发矿产资源的行为。进一步建立规范的矿产资源开发秩序。</w:t>
      </w:r>
    </w:p>
    <w:p w14:paraId="55EEC0C1">
      <w:pPr>
        <w:ind w:firstLine="480"/>
      </w:pPr>
      <w:r>
        <w:rPr>
          <w:rFonts w:hint="eastAsia"/>
        </w:rPr>
        <w:t>对矿政管理中的各种违法违规行为进行检查。定期公布其检查结果，对违法行为进行罚处，从而促进全矿业秩序的根本好转。</w:t>
      </w:r>
    </w:p>
    <w:p w14:paraId="193446B4">
      <w:pPr>
        <w:ind w:firstLine="482"/>
        <w:rPr>
          <w:b/>
        </w:rPr>
      </w:pPr>
      <w:r>
        <w:rPr>
          <w:b/>
        </w:rPr>
        <w:t>2</w:t>
      </w:r>
      <w:r>
        <w:rPr>
          <w:rFonts w:hint="eastAsia"/>
          <w:b/>
        </w:rPr>
        <w:t>、矿业权市场的动态监测</w:t>
      </w:r>
    </w:p>
    <w:p w14:paraId="00A39812">
      <w:pPr>
        <w:ind w:firstLine="480"/>
      </w:pPr>
      <w:r>
        <w:rPr>
          <w:rFonts w:hint="eastAsia"/>
        </w:rPr>
        <w:t>国土资源管理部门要进一步理顺矿业权关系。原则上矿业权要通过市场竞争方式有偿取得，凡通过市场竞争方式有偿取得的矿业权和历史时期取得的和法矿业权，业主有权依法转让，其合法利益受法律保。对非法交易要采取措施，在有充分证据的前题下，运用法律手段对其执法。同时要加强矿业权市场建设，对内探矿权、采矿权进行招标、拍卖、挂牌授予；为更好地进行探矿权、采矿权的招标、拍卖、挂牌授予在内储备一些符合规划、且有市场需求的矿业权，并适时投放市场，以推进矿业权市场的发展。</w:t>
      </w:r>
    </w:p>
    <w:p w14:paraId="11B1EA88">
      <w:pPr>
        <w:pStyle w:val="2"/>
      </w:pPr>
      <w:bookmarkStart w:id="26" w:name="_Toc508698476"/>
      <w:r>
        <w:rPr>
          <w:rFonts w:hint="eastAsia"/>
        </w:rPr>
        <w:t>第九章</w:t>
      </w:r>
      <w:r>
        <w:t xml:space="preserve">  </w:t>
      </w:r>
      <w:r>
        <w:rPr>
          <w:rFonts w:hint="eastAsia"/>
        </w:rPr>
        <w:t>环境影响评价</w:t>
      </w:r>
      <w:bookmarkEnd w:id="26"/>
    </w:p>
    <w:p w14:paraId="4D3416D3">
      <w:pPr>
        <w:pStyle w:val="3"/>
        <w:spacing w:before="156" w:after="156"/>
      </w:pPr>
      <w:bookmarkStart w:id="27" w:name="_Toc508698477"/>
      <w:r>
        <w:rPr>
          <w:rFonts w:hint="eastAsia"/>
        </w:rPr>
        <w:t>第一节</w:t>
      </w:r>
      <w:r>
        <w:t xml:space="preserve">  </w:t>
      </w:r>
      <w:r>
        <w:rPr>
          <w:rFonts w:hint="eastAsia"/>
        </w:rPr>
        <w:t>环境影响预测与评价</w:t>
      </w:r>
      <w:bookmarkEnd w:id="27"/>
    </w:p>
    <w:p w14:paraId="7AD0767A">
      <w:pPr>
        <w:ind w:firstLine="480"/>
      </w:pPr>
      <w:r>
        <w:rPr>
          <w:rFonts w:hint="eastAsia"/>
        </w:rPr>
        <w:t>根据贵安新区直管区内矿产资源特点、勘查程度、规模、资源潜力、开发利用环境等因素，不在禁采区范围内，符合法律、法规要求和本《规划》制定的新建矿山准入条件与相关要求。其中划定建筑用砂开采区</w:t>
      </w:r>
      <w:r>
        <w:t>4</w:t>
      </w:r>
      <w:r>
        <w:rPr>
          <w:rFonts w:hint="eastAsia"/>
        </w:rPr>
        <w:t>处，地热资源特点划定</w:t>
      </w:r>
      <w:r>
        <w:t>3</w:t>
      </w:r>
      <w:r>
        <w:rPr>
          <w:rFonts w:hint="eastAsia"/>
        </w:rPr>
        <w:t>处地热资源开采区。对直管区内矿产资源的开发利用做了简单的环境影响与评价。</w:t>
      </w:r>
    </w:p>
    <w:p w14:paraId="4AD03B45">
      <w:pPr>
        <w:ind w:firstLine="482"/>
        <w:rPr>
          <w:b/>
        </w:rPr>
      </w:pPr>
      <w:r>
        <w:rPr>
          <w:rFonts w:hint="eastAsia"/>
          <w:b/>
        </w:rPr>
        <w:t>一、地下水影响评价</w:t>
      </w:r>
    </w:p>
    <w:p w14:paraId="213B2806">
      <w:pPr>
        <w:ind w:firstLine="480"/>
      </w:pPr>
      <w:r>
        <w:rPr>
          <w:rFonts w:hint="eastAsia"/>
        </w:rPr>
        <w:t>地热水资源的开发利用取水属于深部承压热水，取水目的层之上为良好的隔水层，该隔水层对成井周边上部地下水下渗起到阻隔作用，成井只要做好止水工艺，开采地热水资源不会带来塌陷、地面开裂等不良环境地质问题。</w:t>
      </w:r>
    </w:p>
    <w:p w14:paraId="77048527">
      <w:pPr>
        <w:ind w:firstLine="480"/>
      </w:pPr>
      <w:r>
        <w:rPr>
          <w:rFonts w:hint="eastAsia"/>
        </w:rPr>
        <w:t>贵安新区直管区地热资源开发利用中拟开采热储蓄水层上覆有较厚的碎屑岩隔水层，地热井所采地热水具有承压性，而且未来开采工程中为了保证热矿水的温度和水质，将对储热蓄水层上覆隔热层进行全部封闭，因此，开采地下热水对当地浅层地下水及地表水造成的影响很小。地热资源开发利用的主要是后期洗浴用水的处理排放，同时消费者所产生的污染对地表水的影响，需要做好防护措施：</w:t>
      </w:r>
    </w:p>
    <w:p w14:paraId="0D23F44D">
      <w:pPr>
        <w:ind w:firstLine="480"/>
      </w:pPr>
      <w:r>
        <w:rPr>
          <w:rFonts w:hint="eastAsia"/>
        </w:rPr>
        <w:t>（</w:t>
      </w:r>
      <w:r>
        <w:t>1</w:t>
      </w:r>
      <w:r>
        <w:rPr>
          <w:rFonts w:hint="eastAsia"/>
        </w:rPr>
        <w:t>）地热资源开发项目从规划到设计、施工都要采取节水、节能设计，使用节水、节能设备，制定节水、节能措施；使用废水处理站处理后的水作为绿化、消防等用水，逐步提高回用率。</w:t>
      </w:r>
    </w:p>
    <w:p w14:paraId="5F4E1038">
      <w:pPr>
        <w:ind w:firstLine="480"/>
      </w:pPr>
      <w:r>
        <w:rPr>
          <w:rFonts w:hint="eastAsia"/>
        </w:rPr>
        <w:t>（</w:t>
      </w:r>
      <w:r>
        <w:t>2</w:t>
      </w:r>
      <w:r>
        <w:rPr>
          <w:rFonts w:hint="eastAsia"/>
        </w:rPr>
        <w:t>）地热水的热效应实现综合利用，地热水水温较高，部分可以用于采暖；洗浴后的水经处理后，余热可以用于养殖、暖房。</w:t>
      </w:r>
    </w:p>
    <w:p w14:paraId="3ACADE3B">
      <w:pPr>
        <w:ind w:firstLine="480"/>
      </w:pPr>
      <w:r>
        <w:rPr>
          <w:rFonts w:hint="eastAsia"/>
        </w:rPr>
        <w:t>（</w:t>
      </w:r>
      <w:r>
        <w:t>3</w:t>
      </w:r>
      <w:r>
        <w:rPr>
          <w:rFonts w:hint="eastAsia"/>
        </w:rPr>
        <w:t>）生化垃圾、有机废物，实行分类收集，分别进行处理，不可回收部分运至垃圾卫生填埋场，可回收部分应实现资源化。</w:t>
      </w:r>
    </w:p>
    <w:p w14:paraId="3ADC03F7">
      <w:pPr>
        <w:ind w:firstLine="480"/>
      </w:pPr>
      <w:r>
        <w:rPr>
          <w:rFonts w:hint="eastAsia"/>
        </w:rPr>
        <w:t>（</w:t>
      </w:r>
      <w:r>
        <w:t>4</w:t>
      </w:r>
      <w:r>
        <w:rPr>
          <w:rFonts w:hint="eastAsia"/>
        </w:rPr>
        <w:t>）在规划区范围内严禁向深井注水、深井排放污染物；地热深井必须按核准的开采水量开采，严禁超采。</w:t>
      </w:r>
    </w:p>
    <w:p w14:paraId="31D25688">
      <w:pPr>
        <w:ind w:firstLine="482"/>
        <w:rPr>
          <w:b/>
        </w:rPr>
      </w:pPr>
      <w:r>
        <w:rPr>
          <w:rFonts w:hint="eastAsia"/>
          <w:b/>
        </w:rPr>
        <w:t>二、砂石矿矿山开采的环境影响评价</w:t>
      </w:r>
    </w:p>
    <w:p w14:paraId="5D1BEAA9">
      <w:pPr>
        <w:ind w:firstLine="480"/>
      </w:pPr>
      <w:r>
        <w:rPr>
          <w:rFonts w:hint="eastAsia"/>
        </w:rPr>
        <w:t>贵安新区砂石矿矿山山开采主要为露天开采方式，主要环境影响有：矿区原有地表形态将发生明显变化，山坡被挖平，形成平地，改变了原有土地的利用功能；矿山在建设和运营期间，大面积的土石方开挖，裸露面积较大。在不能及时实施拦挡、排水等措施情况下，裸露地表造成流失，边坡发生滑坡、崩塌等地质灾害。</w:t>
      </w:r>
    </w:p>
    <w:p w14:paraId="2662F909">
      <w:pPr>
        <w:ind w:firstLine="480"/>
      </w:pPr>
      <w:r>
        <w:rPr>
          <w:rFonts w:hint="eastAsia"/>
        </w:rPr>
        <w:t>矿山的植被及表地被剥离后，极易造成水土流失污染环境。为减轻水土流失，应采取如下措施：</w:t>
      </w:r>
    </w:p>
    <w:p w14:paraId="1E016C39">
      <w:pPr>
        <w:ind w:firstLine="480"/>
      </w:pPr>
      <w:r>
        <w:rPr>
          <w:rFonts w:hint="eastAsia"/>
        </w:rPr>
        <w:t>（</w:t>
      </w:r>
      <w:r>
        <w:t>1</w:t>
      </w:r>
      <w:r>
        <w:rPr>
          <w:rFonts w:hint="eastAsia"/>
        </w:rPr>
        <w:t>）不得剥而不采，令表土长时间暴露，增加水土流失的机会。</w:t>
      </w:r>
    </w:p>
    <w:p w14:paraId="209C64C4">
      <w:pPr>
        <w:ind w:firstLine="480"/>
      </w:pPr>
      <w:r>
        <w:rPr>
          <w:rFonts w:hint="eastAsia"/>
        </w:rPr>
        <w:t>（</w:t>
      </w:r>
      <w:r>
        <w:t>2</w:t>
      </w:r>
      <w:r>
        <w:rPr>
          <w:rFonts w:hint="eastAsia"/>
        </w:rPr>
        <w:t>）矿山采用自上而下分水平式台阶法，各台阶设置排水设施。</w:t>
      </w:r>
    </w:p>
    <w:p w14:paraId="1D9D6483">
      <w:pPr>
        <w:ind w:firstLine="480"/>
      </w:pPr>
      <w:r>
        <w:rPr>
          <w:rFonts w:hint="eastAsia"/>
        </w:rPr>
        <w:t>（</w:t>
      </w:r>
      <w:r>
        <w:t>3</w:t>
      </w:r>
      <w:r>
        <w:rPr>
          <w:rFonts w:hint="eastAsia"/>
        </w:rPr>
        <w:t>）矿山开采产生的弃渣采取分区回填的方式，不能及时回填的则运至排土场集中处置。</w:t>
      </w:r>
    </w:p>
    <w:p w14:paraId="280E90E9">
      <w:pPr>
        <w:ind w:firstLine="480"/>
      </w:pPr>
      <w:r>
        <w:rPr>
          <w:rFonts w:hint="eastAsia"/>
        </w:rPr>
        <w:t>（</w:t>
      </w:r>
      <w:r>
        <w:t>4</w:t>
      </w:r>
      <w:r>
        <w:rPr>
          <w:rFonts w:hint="eastAsia"/>
        </w:rPr>
        <w:t>）做好矿区开采安全防治措施。</w:t>
      </w:r>
    </w:p>
    <w:p w14:paraId="1065219F">
      <w:pPr>
        <w:ind w:firstLine="480"/>
      </w:pPr>
      <w:r>
        <w:rPr>
          <w:rFonts w:hint="eastAsia"/>
        </w:rPr>
        <w:t>矿山闭坑后，须做好闭坑矿山环境恢复治理，对因矿山开采所产生的地质灾害及环境问题，进行全部彻底治理，使矿区生态环境得到明显改善。</w:t>
      </w:r>
    </w:p>
    <w:p w14:paraId="0B49DACF">
      <w:pPr>
        <w:ind w:firstLine="480"/>
      </w:pPr>
      <w:r>
        <w:rPr>
          <w:rFonts w:hint="eastAsia"/>
        </w:rPr>
        <w:t>矿山建设必须要符合国家相关政策、法规，其建设内容和工程设计在环境上可行，并提出环境影响减缓措施，其开采不会对周边环境造成较大破坏。</w:t>
      </w:r>
    </w:p>
    <w:p w14:paraId="0355F4FE">
      <w:pPr>
        <w:ind w:firstLine="482"/>
        <w:rPr>
          <w:b/>
        </w:rPr>
      </w:pPr>
      <w:r>
        <w:rPr>
          <w:rFonts w:hint="eastAsia"/>
          <w:b/>
        </w:rPr>
        <w:t>三、生态影响评价</w:t>
      </w:r>
    </w:p>
    <w:p w14:paraId="0587F961">
      <w:pPr>
        <w:ind w:firstLine="480"/>
      </w:pPr>
      <w:r>
        <w:rPr>
          <w:rFonts w:hint="eastAsia"/>
        </w:rPr>
        <w:t>贵安新区直管区内矿产资源的开发利用，将使开采区内的土地利用结构发生改变，原有景观及生态系统类型也改变，部分农田和荒山将被建筑物、采场等所代替，土壤、植被遭到一定程度破坏，部分自然植被由绿化人工植被所代替，用地范围的生产方式、能量即物质流动方式均发生改变。矿产资源的利用，将使原来的农村自然与人工的符合生态系统变成了以矿业开发利用为主的人工生态系统，此类影响属不可逆的生态环境影响。植被减少，降低区内植被被产氧的生态功能，需要通过绿化措施进行补救。</w:t>
      </w:r>
    </w:p>
    <w:p w14:paraId="464638D2">
      <w:pPr>
        <w:pStyle w:val="3"/>
        <w:spacing w:before="156" w:after="156"/>
      </w:pPr>
      <w:bookmarkStart w:id="28" w:name="_Toc508698478"/>
      <w:r>
        <w:rPr>
          <w:rFonts w:hint="eastAsia"/>
        </w:rPr>
        <w:t>第二节</w:t>
      </w:r>
      <w:r>
        <w:t xml:space="preserve">  </w:t>
      </w:r>
      <w:r>
        <w:rPr>
          <w:rFonts w:hint="eastAsia"/>
        </w:rPr>
        <w:t>资源与环境承载力评价</w:t>
      </w:r>
      <w:bookmarkEnd w:id="28"/>
    </w:p>
    <w:p w14:paraId="332DB52F">
      <w:pPr>
        <w:ind w:firstLine="482"/>
        <w:rPr>
          <w:b/>
        </w:rPr>
      </w:pPr>
      <w:r>
        <w:rPr>
          <w:rFonts w:hint="eastAsia"/>
          <w:b/>
        </w:rPr>
        <w:t>一、水资源承载力评价</w:t>
      </w:r>
    </w:p>
    <w:p w14:paraId="269676FA">
      <w:pPr>
        <w:ind w:firstLine="480"/>
      </w:pPr>
      <w:r>
        <w:rPr>
          <w:rFonts w:hint="eastAsia"/>
        </w:rPr>
        <w:t>贵安新区直管区内由于河谷切割较深，水平排泄条件较好，地下水已基本成为地表径流的一部分，其总量已含在地表水资源量中。通过收集资料，贵安新区直管区内多年平均地下水资源总量</w:t>
      </w:r>
      <w:r>
        <w:t>2.6</w:t>
      </w:r>
      <w:r>
        <w:rPr>
          <w:rFonts w:hint="eastAsia"/>
        </w:rPr>
        <w:t>亿</w:t>
      </w:r>
      <w:r>
        <w:t>m</w:t>
      </w:r>
      <w:r>
        <w:rPr>
          <w:vertAlign w:val="superscript"/>
        </w:rPr>
        <w:t>3</w:t>
      </w:r>
      <w:r>
        <w:rPr>
          <w:rFonts w:hint="eastAsia"/>
        </w:rPr>
        <w:t>，根据规划，到</w:t>
      </w:r>
      <w:r>
        <w:t>2020</w:t>
      </w:r>
      <w:r>
        <w:rPr>
          <w:rFonts w:hint="eastAsia"/>
        </w:rPr>
        <w:t>年直管区内地热资源开发量</w:t>
      </w:r>
      <w:r>
        <w:t>50</w:t>
      </w:r>
      <w:r>
        <w:rPr>
          <w:rFonts w:hint="eastAsia"/>
        </w:rPr>
        <w:t>万</w:t>
      </w:r>
      <w:r>
        <w:t>m</w:t>
      </w:r>
      <w:r>
        <w:rPr>
          <w:vertAlign w:val="superscript"/>
        </w:rPr>
        <w:t>3</w:t>
      </w:r>
      <w:r>
        <w:rPr>
          <w:rFonts w:hint="eastAsia"/>
        </w:rPr>
        <w:t>，因此区内地下水资源能够满足贵安新区直管区规划期内的需求。</w:t>
      </w:r>
    </w:p>
    <w:p w14:paraId="1485BA70">
      <w:pPr>
        <w:ind w:firstLine="480"/>
      </w:pPr>
      <w:r>
        <w:rPr>
          <w:rFonts w:hint="eastAsia"/>
        </w:rPr>
        <w:t>总而言之，贵安新区直管区内矿产资源开发利用过程中，必须重视水资源的保护，避免人类活动造成的水污染，否则水环境的污染等环境问题，将会影响区内现代化进程的阻碍。</w:t>
      </w:r>
    </w:p>
    <w:p w14:paraId="088E63C2">
      <w:pPr>
        <w:ind w:firstLine="482"/>
        <w:rPr>
          <w:b/>
        </w:rPr>
      </w:pPr>
      <w:r>
        <w:rPr>
          <w:rFonts w:hint="eastAsia"/>
          <w:b/>
        </w:rPr>
        <w:t>二、土地资源承载力评价</w:t>
      </w:r>
    </w:p>
    <w:p w14:paraId="2142C1F3">
      <w:pPr>
        <w:ind w:firstLine="480"/>
      </w:pPr>
      <w:r>
        <w:rPr>
          <w:rFonts w:hint="eastAsia"/>
        </w:rPr>
        <w:t>根据《贵安新区总体规划》（</w:t>
      </w:r>
      <w:r>
        <w:t>2013-2030</w:t>
      </w:r>
      <w:r>
        <w:rPr>
          <w:rFonts w:hint="eastAsia"/>
        </w:rPr>
        <w:t>）中对贵安新区建设用地生态适应性的分区，本次规划中矿产资源开发的建设用地处于高峰南部适宜建设用地范围内。贵安新区新区适宜建设用地规模</w:t>
      </w:r>
      <w:r>
        <w:t>491km</w:t>
      </w:r>
      <w:r>
        <w:rPr>
          <w:vertAlign w:val="superscript"/>
        </w:rPr>
        <w:t>2</w:t>
      </w:r>
      <w:r>
        <w:t>,</w:t>
      </w:r>
      <w:r>
        <w:rPr>
          <w:rFonts w:hint="eastAsia"/>
        </w:rPr>
        <w:t>而本次规划占适宜建筑用地的</w:t>
      </w:r>
      <w:r>
        <w:t>10%</w:t>
      </w:r>
      <w:r>
        <w:rPr>
          <w:rFonts w:hint="eastAsia"/>
        </w:rPr>
        <w:t>，因此区内矿产资源开发利用所需土地可以在承载范围内。</w:t>
      </w:r>
    </w:p>
    <w:p w14:paraId="3F092F63">
      <w:pPr>
        <w:pStyle w:val="2"/>
      </w:pPr>
      <w:bookmarkStart w:id="29" w:name="_Toc508698479"/>
      <w:r>
        <w:rPr>
          <w:rFonts w:hint="eastAsia"/>
        </w:rPr>
        <w:t>第十章</w:t>
      </w:r>
      <w:r>
        <w:t xml:space="preserve">  </w:t>
      </w:r>
      <w:r>
        <w:rPr>
          <w:rFonts w:hint="eastAsia"/>
        </w:rPr>
        <w:t>规划实施管理</w:t>
      </w:r>
      <w:bookmarkEnd w:id="29"/>
    </w:p>
    <w:p w14:paraId="76C65A9F">
      <w:pPr>
        <w:ind w:firstLine="480"/>
        <w:rPr>
          <w:rFonts w:ascii="宋体"/>
          <w:szCs w:val="24"/>
        </w:rPr>
      </w:pPr>
      <w:r>
        <w:rPr>
          <w:rFonts w:hint="eastAsia" w:ascii="宋体" w:hAnsi="宋体"/>
          <w:szCs w:val="24"/>
        </w:rPr>
        <w:t>要使《贵州省贵安新区直管区矿产资源总体规划》（以下简称《规划》）得以实施，必须采取以下措施：</w:t>
      </w:r>
    </w:p>
    <w:p w14:paraId="3364AD38">
      <w:pPr>
        <w:ind w:firstLine="0" w:firstLineChars="0"/>
        <w:rPr>
          <w:rFonts w:ascii="宋体"/>
          <w:b/>
          <w:bCs/>
          <w:szCs w:val="24"/>
        </w:rPr>
      </w:pPr>
      <w:r>
        <w:rPr>
          <w:rFonts w:ascii="宋体" w:hAnsi="宋体"/>
          <w:b/>
          <w:bCs/>
          <w:szCs w:val="24"/>
        </w:rPr>
        <w:t xml:space="preserve">    </w:t>
      </w:r>
      <w:r>
        <w:rPr>
          <w:rFonts w:hint="eastAsia" w:ascii="宋体" w:hAnsi="宋体"/>
          <w:b/>
          <w:bCs/>
          <w:szCs w:val="24"/>
        </w:rPr>
        <w:t>一、加大宣传力度，提高对规划重要性的认识</w:t>
      </w:r>
    </w:p>
    <w:p w14:paraId="105CDD8A">
      <w:pPr>
        <w:ind w:firstLine="480"/>
        <w:rPr>
          <w:rFonts w:ascii="宋体"/>
          <w:szCs w:val="24"/>
        </w:rPr>
      </w:pPr>
      <w:r>
        <w:rPr>
          <w:rFonts w:hint="eastAsia" w:ascii="宋体" w:hAnsi="宋体"/>
          <w:szCs w:val="24"/>
        </w:rPr>
        <w:t>《规划》是全国矿产资源规划体系的重要组成部分，是上级矿产资源规划的细化和补充。规划是直管区人民政府及其国土资源主管部门依法对矿产资源勘查、开发利用与保护进行监督管理的重要依据，也是上级矿产资源规划得以全面实施的重要环节。</w:t>
      </w:r>
    </w:p>
    <w:p w14:paraId="38E986C1">
      <w:pPr>
        <w:ind w:firstLine="480"/>
        <w:rPr>
          <w:rFonts w:ascii="宋体"/>
          <w:szCs w:val="24"/>
        </w:rPr>
      </w:pPr>
      <w:r>
        <w:rPr>
          <w:rFonts w:hint="eastAsia" w:ascii="宋体" w:hAnsi="宋体"/>
          <w:szCs w:val="24"/>
        </w:rPr>
        <w:t>要使《规划》得以实施，必须采用多种媒体，多种方式，加大对规划的宣传力度。普及规划知识，增强规划意识，提高全社会对矿产资源规划重要性的认识，尤要增强直管区、乡政府及各主管部门领导和工作人员对贯彻实施规划的责任感。广泛宣传规划的同时，及时公告规划，使广大群众，尤其是矿业权人及矿山企业了解规划，并自觉按规划要求办矿，同时通过宣传，接受社会公众和舆论对规划执行的监督检查。</w:t>
      </w:r>
    </w:p>
    <w:p w14:paraId="769A16F0">
      <w:pPr>
        <w:ind w:firstLine="0" w:firstLineChars="0"/>
        <w:rPr>
          <w:rFonts w:ascii="宋体"/>
          <w:b/>
          <w:bCs/>
          <w:szCs w:val="24"/>
        </w:rPr>
      </w:pPr>
      <w:r>
        <w:rPr>
          <w:rFonts w:hint="eastAsia" w:ascii="宋体" w:hAnsi="宋体"/>
          <w:b/>
          <w:bCs/>
          <w:szCs w:val="24"/>
        </w:rPr>
        <w:t>二、加强规划实施的组织领导，确保规划执行</w:t>
      </w:r>
    </w:p>
    <w:p w14:paraId="17AE38C9">
      <w:pPr>
        <w:ind w:firstLine="480"/>
        <w:rPr>
          <w:rFonts w:ascii="宋体"/>
          <w:szCs w:val="24"/>
        </w:rPr>
      </w:pPr>
      <w:r>
        <w:rPr>
          <w:rFonts w:hint="eastAsia" w:ascii="宋体" w:hAnsi="宋体"/>
          <w:szCs w:val="24"/>
        </w:rPr>
        <w:t>要使规划得以实施，加强规划实施的组织领导是重要而不可缺少的。必须加强直管区和各乡镇人民政府及其主管部门对规划实施的领导和管理，各级政府及其主管部门要加强矿产资源规划管理的职能，建立规划实施工作领导责任制，加强对规划执行情况的监督管理，及时发现和纠正各种违反规划的行为。要将规划的实施纳入政府管理的工作目标责任制，由区长牵头和各乡镇与各相关主管部门签订目标责任制，一级抓一级，并定期予以考核。同时为保证规划的实施，直管区人民政府还将根据实际，适时制定规划实施的各项制度和保证规划执行的有关法规或政策，以利规划的有效实施。</w:t>
      </w:r>
    </w:p>
    <w:p w14:paraId="4BD92A98">
      <w:pPr>
        <w:ind w:firstLine="0" w:firstLineChars="0"/>
        <w:rPr>
          <w:rFonts w:ascii="宋体"/>
          <w:b/>
          <w:bCs/>
          <w:szCs w:val="24"/>
        </w:rPr>
      </w:pPr>
      <w:r>
        <w:rPr>
          <w:rFonts w:ascii="宋体" w:hAnsi="宋体"/>
          <w:b/>
          <w:bCs/>
          <w:szCs w:val="24"/>
        </w:rPr>
        <w:t xml:space="preserve">    </w:t>
      </w:r>
      <w:r>
        <w:rPr>
          <w:rFonts w:hint="eastAsia" w:ascii="宋体" w:hAnsi="宋体"/>
          <w:b/>
          <w:bCs/>
          <w:szCs w:val="24"/>
        </w:rPr>
        <w:t>三、强化规划的实施管理，严格执法</w:t>
      </w:r>
    </w:p>
    <w:p w14:paraId="36245197">
      <w:pPr>
        <w:ind w:firstLine="480"/>
        <w:rPr>
          <w:rFonts w:ascii="宋体"/>
          <w:szCs w:val="24"/>
        </w:rPr>
      </w:pPr>
      <w:r>
        <w:rPr>
          <w:rFonts w:hint="eastAsia" w:ascii="宋体" w:hAnsi="宋体"/>
          <w:szCs w:val="24"/>
        </w:rPr>
        <w:t>《规划》经过批准后，具有法律效力，必须严格执行。任何单位和个人都无权随意调整或修改。直管区内矿产资源的勘查、开发利用与保护，必须遵循本《规划》，严格按各项规定要求办理。</w:t>
      </w:r>
    </w:p>
    <w:p w14:paraId="5BA027C8">
      <w:pPr>
        <w:ind w:firstLine="480"/>
        <w:rPr>
          <w:rFonts w:ascii="宋体"/>
          <w:szCs w:val="24"/>
        </w:rPr>
      </w:pPr>
      <w:r>
        <w:rPr>
          <w:rFonts w:hint="eastAsia" w:ascii="宋体" w:hAnsi="宋体"/>
          <w:szCs w:val="24"/>
        </w:rPr>
        <w:t>要有效实施《规划》，必须切实加强规划的实施管理。要建立与健全规划实施的保障体系，主管部门要结合实际，研究制定规划实施的各项制度；要建立并实行勘查与开采项目的规划审查，对不符合规划的，不得设立矿山企业，也不得批准用地；不符合规划要求的，也不准予“招牌挂”有偿出让矿业权。要根据国土资源部制定的《矿产资源规划实施管理办法》，制定具有地方特色的、科学的、可操作性强的贵州省贵安新区直管区矿产资源规划实施管理细则，建立并严格执行实施目标责任制、规划公示制、规划备案制、计划管理、规划审查、规划实施监督检查等制度。要强化规划实施监督检查，要将规划执行情况作为国土资源执法监察的重要内容进行监督检查，建立规范的、可操作性强的规划实施监督机制，对违反规划的应当及时纠正，对造成矿产资源破坏的，要坚决予以查处，并要建立规划管理信息系统和实施规划检查和信息反馈制度。</w:t>
      </w:r>
    </w:p>
    <w:p w14:paraId="7AA43107">
      <w:pPr>
        <w:ind w:firstLine="480"/>
        <w:rPr>
          <w:rFonts w:ascii="宋体"/>
          <w:szCs w:val="24"/>
        </w:rPr>
      </w:pPr>
      <w:r>
        <w:rPr>
          <w:rFonts w:hint="eastAsia" w:ascii="宋体" w:hAnsi="宋体"/>
          <w:szCs w:val="24"/>
        </w:rPr>
        <w:t>加强矿产资源规划管理的法制建设，树立实施规划、执行规划就是执法，违反规划就是违法的观念。严肃查处有法不依，执法不严的违法行为，对违反法律、法规和矿产资源规划的行为，要坚决纠正，并追究当事人的经济责任或行政责任。对于非法开采或破坏矿产资源的，要坚决查处，构成犯罪的，要依法追究刑事责任。</w:t>
      </w:r>
    </w:p>
    <w:p w14:paraId="3931198E">
      <w:pPr>
        <w:ind w:firstLine="0" w:firstLineChars="0"/>
        <w:rPr>
          <w:rFonts w:ascii="宋体"/>
          <w:b/>
          <w:bCs/>
          <w:szCs w:val="24"/>
        </w:rPr>
      </w:pPr>
      <w:r>
        <w:rPr>
          <w:rFonts w:ascii="宋体" w:hAnsi="宋体"/>
          <w:b/>
          <w:bCs/>
          <w:szCs w:val="24"/>
        </w:rPr>
        <w:t xml:space="preserve">    </w:t>
      </w:r>
      <w:r>
        <w:rPr>
          <w:rFonts w:hint="eastAsia" w:ascii="宋体" w:hAnsi="宋体"/>
          <w:b/>
          <w:bCs/>
          <w:szCs w:val="24"/>
        </w:rPr>
        <w:t>四、实施招标拍卖挂牌，大力推进矿业权的有偿取得</w:t>
      </w:r>
    </w:p>
    <w:p w14:paraId="755C8E50">
      <w:pPr>
        <w:ind w:firstLine="480"/>
        <w:rPr>
          <w:rFonts w:ascii="宋体"/>
          <w:szCs w:val="24"/>
        </w:rPr>
      </w:pPr>
      <w:r>
        <w:rPr>
          <w:rFonts w:hint="eastAsia" w:ascii="宋体" w:hAnsi="宋体"/>
          <w:szCs w:val="24"/>
        </w:rPr>
        <w:t>加快推进矿业权市场建设，发挥市场机制，是促进矿产资源合理利用的客观需要；是促进矿产勘查、开发的有效途径；是实现资源国家所有权益和促进地方经济发展的重要举措。通过招标、拍卖、挂牌等方式出让矿业权，不仅可以从经济上实现和维护矿产资源国家所有权益，也为地方经济发展提供资金支持。</w:t>
      </w:r>
    </w:p>
    <w:p w14:paraId="3D2C862B">
      <w:pPr>
        <w:ind w:firstLine="480"/>
        <w:rPr>
          <w:rFonts w:ascii="宋体"/>
          <w:szCs w:val="24"/>
        </w:rPr>
      </w:pPr>
      <w:r>
        <w:rPr>
          <w:rFonts w:hint="eastAsia" w:ascii="宋体" w:hAnsi="宋体"/>
          <w:szCs w:val="24"/>
        </w:rPr>
        <w:t>为保障勘查、开发规划目标的实现，合理开发利用矿产资源，促进区内经济的发展，必须遵照国家的有关规定要求，大力加快矿业权市场的建设与发展。为规范有效实施矿业权的“招牌挂”，国土资源主管部门应本规划（含专项规划、矿区总体规划等）和国家产业政策以及市场供需情况，按照颁发矿业权的法定权限，编制探矿权、采矿权“招牌挂”年度计划，报省级主管部门。凡不符合矿产资源规划和未按省级国土资源行政主管部门要求编制矿产资源规划或实施方案的地区，不得出让探矿权与采矿权。</w:t>
      </w:r>
    </w:p>
    <w:p w14:paraId="25ABAF19">
      <w:pPr>
        <w:ind w:firstLine="480"/>
        <w:rPr>
          <w:rFonts w:ascii="宋体"/>
          <w:szCs w:val="24"/>
        </w:rPr>
      </w:pPr>
      <w:r>
        <w:rPr>
          <w:rFonts w:ascii="宋体" w:hAnsi="宋体"/>
          <w:szCs w:val="24"/>
        </w:rPr>
        <w:t xml:space="preserve"> </w:t>
      </w:r>
      <w:r>
        <w:rPr>
          <w:rFonts w:hint="eastAsia" w:ascii="宋体" w:hAnsi="宋体"/>
          <w:szCs w:val="24"/>
        </w:rPr>
        <w:t>在“招牌挂”活动，应当遵循公开、公平、公正和诚实信用的原则。凡“招牌挂”出让国家出资勘查形成的矿产地的矿业权和转让矿业权的，应按规定进行有矿业权评估资质的中介组织予以评估和国土资源主管部门的确认，方可进行。</w:t>
      </w:r>
    </w:p>
    <w:p w14:paraId="152DBE44">
      <w:pPr>
        <w:ind w:right="-156" w:rightChars="-65" w:firstLine="0" w:firstLineChars="0"/>
        <w:rPr>
          <w:rFonts w:ascii="宋体"/>
          <w:b/>
          <w:bCs/>
          <w:szCs w:val="24"/>
        </w:rPr>
      </w:pPr>
      <w:r>
        <w:rPr>
          <w:rFonts w:ascii="宋体" w:hAnsi="宋体"/>
          <w:b/>
          <w:bCs/>
          <w:szCs w:val="24"/>
        </w:rPr>
        <w:t xml:space="preserve">    </w:t>
      </w:r>
      <w:r>
        <w:rPr>
          <w:rFonts w:hint="eastAsia" w:ascii="宋体" w:hAnsi="宋体"/>
          <w:b/>
          <w:bCs/>
          <w:szCs w:val="24"/>
        </w:rPr>
        <w:t>五、坚持环境友好，强化矿山环境保护与恢复</w:t>
      </w:r>
    </w:p>
    <w:p w14:paraId="28C6AC96">
      <w:pPr>
        <w:ind w:firstLine="480"/>
        <w:rPr>
          <w:rFonts w:ascii="宋体"/>
          <w:szCs w:val="24"/>
        </w:rPr>
      </w:pPr>
      <w:r>
        <w:rPr>
          <w:rFonts w:hint="eastAsia" w:ascii="宋体" w:hAnsi="宋体"/>
          <w:szCs w:val="24"/>
        </w:rPr>
        <w:t>国土资源主管部门要会同环境保护等部门，根据有关法律法规，进一步完善矿山环境保护与修复的有关制度，并加强监督管理，建立长效机制。严格新建矿山的环境准入条件，坚持“谁开发，谁保护”，“谁破坏，谁恢复”，“谁污染，谁治理”，“谁治理，谁受益”的原则，明确责任，奖罚分明。采用综合措施，确保规划目标的实现。</w:t>
      </w:r>
    </w:p>
    <w:p w14:paraId="2C5D41A9">
      <w:pPr>
        <w:ind w:firstLine="480"/>
        <w:rPr>
          <w:rFonts w:ascii="宋体"/>
          <w:szCs w:val="24"/>
        </w:rPr>
      </w:pPr>
      <w:r>
        <w:rPr>
          <w:rFonts w:hint="eastAsia" w:ascii="宋体" w:hAnsi="宋体"/>
          <w:szCs w:val="24"/>
        </w:rPr>
        <w:t>加强对矿业活动可能造成的矿山地质环境问题和地质灾害的监测预报，并建立报告制度，以有效保护矿山环境，减灾防灾。</w:t>
      </w:r>
    </w:p>
    <w:p w14:paraId="15232783">
      <w:pPr>
        <w:ind w:firstLine="0" w:firstLineChars="0"/>
        <w:rPr>
          <w:rFonts w:ascii="宋体"/>
          <w:b/>
          <w:bCs/>
          <w:szCs w:val="24"/>
        </w:rPr>
      </w:pPr>
      <w:r>
        <w:rPr>
          <w:rFonts w:ascii="宋体" w:hAnsi="宋体"/>
          <w:b/>
          <w:bCs/>
          <w:szCs w:val="24"/>
        </w:rPr>
        <w:t xml:space="preserve">  </w:t>
      </w:r>
      <w:r>
        <w:rPr>
          <w:rFonts w:hint="eastAsia" w:ascii="宋体" w:hAnsi="宋体"/>
          <w:b/>
          <w:bCs/>
          <w:szCs w:val="24"/>
        </w:rPr>
        <w:t>六、采取有效措施，加强矿产勘查与开发</w:t>
      </w:r>
    </w:p>
    <w:p w14:paraId="66754B8C">
      <w:pPr>
        <w:ind w:firstLine="480"/>
        <w:rPr>
          <w:rFonts w:ascii="宋体"/>
          <w:strike/>
          <w:color w:val="FF0000"/>
          <w:szCs w:val="24"/>
        </w:rPr>
      </w:pPr>
      <w:r>
        <w:rPr>
          <w:rFonts w:hint="eastAsia" w:ascii="宋体" w:hAnsi="宋体"/>
          <w:szCs w:val="24"/>
        </w:rPr>
        <w:t>为保证规划的实施，尤其是以砂石矿、地热水为重点的勘查与开发规划目标的实现，必须采取有效措施，加强矿产勘查，加大矿产的开发力度。针对直管区正在加大基础设施的建设，需要大量的砂石矿矿产资源，砂石矿勘查工作程度普遍偏低，尚难以满足较大规模矿山开采建设的需要的情况；针对直管区矿产开发规模小，产量低，难以适应直管区经济发展之需的情况。必须着力改善直管区投资环境，大力招商引资，拓宽融资渠道，多方筹集资金，推进以砂石矿、地热水为主的商业性矿产勘查，并加大矿产开发力度，增加产量，以满足直管区经济与社会持续发展对砂石矿产的需要。</w:t>
      </w:r>
      <w:bookmarkStart w:id="30" w:name="_Toc83133974"/>
      <w:bookmarkStart w:id="31" w:name="_Toc150075996"/>
      <w:bookmarkStart w:id="32" w:name="_Toc155845347"/>
    </w:p>
    <w:p w14:paraId="07C4314D">
      <w:pPr>
        <w:ind w:firstLine="0" w:firstLineChars="0"/>
        <w:rPr>
          <w:rFonts w:ascii="宋体"/>
          <w:b/>
          <w:szCs w:val="24"/>
        </w:rPr>
      </w:pPr>
      <w:r>
        <w:rPr>
          <w:rFonts w:ascii="宋体" w:hAnsi="宋体"/>
          <w:b/>
          <w:szCs w:val="24"/>
        </w:rPr>
        <w:t xml:space="preserve">    </w:t>
      </w:r>
      <w:r>
        <w:rPr>
          <w:rFonts w:hint="eastAsia" w:ascii="宋体" w:hAnsi="宋体"/>
          <w:b/>
          <w:szCs w:val="24"/>
        </w:rPr>
        <w:t>七、依靠科技进步，提高科技对</w:t>
      </w:r>
      <w:bookmarkEnd w:id="30"/>
      <w:bookmarkEnd w:id="31"/>
      <w:bookmarkEnd w:id="32"/>
      <w:r>
        <w:rPr>
          <w:rFonts w:hint="eastAsia" w:ascii="宋体" w:hAnsi="宋体"/>
          <w:b/>
          <w:szCs w:val="24"/>
        </w:rPr>
        <w:t>矿业的贡献率</w:t>
      </w:r>
    </w:p>
    <w:p w14:paraId="1060A32C">
      <w:pPr>
        <w:ind w:firstLine="480"/>
        <w:rPr>
          <w:rFonts w:ascii="宋体"/>
          <w:b/>
          <w:szCs w:val="24"/>
        </w:rPr>
      </w:pPr>
      <w:r>
        <w:rPr>
          <w:rFonts w:hint="eastAsia" w:ascii="宋体" w:hAnsi="宋体"/>
          <w:szCs w:val="24"/>
        </w:rPr>
        <w:t>坚持直管区矿业的可持续发展，依靠科学科技进步与科技创新，在矿产勘查、开发利用与保护、矿山环境保护与恢复治理的始终，都要积极应用新理论，引进新技术、新方法及新工艺和先进的技术装备，提高科技对直管区矿业的贡献率。</w:t>
      </w:r>
    </w:p>
    <w:p w14:paraId="334285F6">
      <w:pPr>
        <w:ind w:firstLine="480"/>
      </w:pPr>
    </w:p>
    <w:p w14:paraId="10A2E717">
      <w:pPr>
        <w:ind w:firstLine="480"/>
      </w:pPr>
    </w:p>
    <w:p w14:paraId="1ABBB67D">
      <w:pPr>
        <w:ind w:firstLine="480"/>
      </w:pPr>
    </w:p>
    <w:p w14:paraId="46A87C5F">
      <w:pPr>
        <w:ind w:firstLine="480"/>
      </w:pPr>
    </w:p>
    <w:p w14:paraId="55056A9B">
      <w:pPr>
        <w:ind w:firstLine="480"/>
      </w:pPr>
    </w:p>
    <w:p w14:paraId="5CC46D4D">
      <w:pPr>
        <w:ind w:firstLine="480"/>
      </w:pPr>
    </w:p>
    <w:p w14:paraId="5F844820">
      <w:pPr>
        <w:ind w:firstLine="480"/>
      </w:pPr>
    </w:p>
    <w:p w14:paraId="6C62CB82">
      <w:pPr>
        <w:ind w:firstLine="480"/>
      </w:pPr>
    </w:p>
    <w:p w14:paraId="5BF1C028">
      <w:pPr>
        <w:ind w:firstLine="480"/>
      </w:pPr>
    </w:p>
    <w:p w14:paraId="0C08AAA0">
      <w:pPr>
        <w:ind w:firstLine="480"/>
      </w:pPr>
    </w:p>
    <w:p w14:paraId="2A7DFC3A">
      <w:pPr>
        <w:ind w:firstLine="480"/>
      </w:pPr>
    </w:p>
    <w:p w14:paraId="78101212">
      <w:pPr>
        <w:ind w:firstLine="480"/>
      </w:pPr>
    </w:p>
    <w:p w14:paraId="7B606A65">
      <w:pPr>
        <w:ind w:firstLine="480"/>
      </w:pPr>
    </w:p>
    <w:p w14:paraId="02FA91B4">
      <w:pPr>
        <w:ind w:firstLine="480"/>
      </w:pPr>
    </w:p>
    <w:p w14:paraId="414F8547">
      <w:pPr>
        <w:ind w:firstLine="480"/>
      </w:pPr>
    </w:p>
    <w:p w14:paraId="1FDB0BC9">
      <w:pPr>
        <w:ind w:firstLine="480"/>
      </w:pPr>
    </w:p>
    <w:p w14:paraId="0957521F">
      <w:pPr>
        <w:ind w:firstLine="480"/>
      </w:pPr>
    </w:p>
    <w:p w14:paraId="5D798D70">
      <w:pPr>
        <w:ind w:firstLine="480"/>
      </w:pPr>
    </w:p>
    <w:p w14:paraId="29DC2D0F">
      <w:pPr>
        <w:ind w:firstLine="480"/>
      </w:pPr>
    </w:p>
    <w:p w14:paraId="662C37CA">
      <w:pPr>
        <w:ind w:firstLine="480"/>
      </w:pPr>
    </w:p>
    <w:p w14:paraId="3059153B">
      <w:pPr>
        <w:ind w:firstLine="480"/>
      </w:pPr>
    </w:p>
    <w:p w14:paraId="7E16FD26">
      <w:pPr>
        <w:ind w:firstLine="480"/>
      </w:pPr>
    </w:p>
    <w:p w14:paraId="234F601A">
      <w:pPr>
        <w:ind w:firstLine="480"/>
      </w:pPr>
    </w:p>
    <w:p w14:paraId="7E5C668F">
      <w:pPr>
        <w:ind w:firstLine="480"/>
      </w:pPr>
    </w:p>
    <w:p w14:paraId="15711D22">
      <w:pPr>
        <w:ind w:firstLine="480"/>
      </w:pPr>
    </w:p>
    <w:p w14:paraId="4428F43C">
      <w:pPr>
        <w:ind w:firstLine="480"/>
      </w:pPr>
    </w:p>
    <w:p w14:paraId="68E328B2">
      <w:pPr>
        <w:ind w:firstLine="480"/>
      </w:pPr>
    </w:p>
    <w:p w14:paraId="62137E9A">
      <w:pPr>
        <w:pStyle w:val="2"/>
      </w:pPr>
      <w:r>
        <w:rPr>
          <w:rFonts w:hint="eastAsia"/>
        </w:rPr>
        <w:t>《贵州省贵安新区直管区矿产资源总体规划（</w:t>
      </w:r>
      <w:r>
        <w:t>2016—2020</w:t>
      </w:r>
      <w:r>
        <w:rPr>
          <w:rFonts w:hint="eastAsia"/>
        </w:rPr>
        <w:t>年）》编制说明书</w:t>
      </w:r>
    </w:p>
    <w:p w14:paraId="143F240E">
      <w:pPr>
        <w:ind w:firstLine="560"/>
        <w:rPr>
          <w:sz w:val="28"/>
          <w:szCs w:val="28"/>
        </w:rPr>
      </w:pPr>
      <w:r>
        <w:rPr>
          <w:rFonts w:hint="eastAsia"/>
          <w:sz w:val="28"/>
          <w:szCs w:val="28"/>
        </w:rPr>
        <w:t>为了加强贵安新区直管区矿产资源的勘查、开发与保护，科学开发与合理利用，满足贵安新区直管区国民经济建设和社会持续发展对矿产资源的需要，</w:t>
      </w:r>
      <w:r>
        <w:rPr>
          <w:rFonts w:hint="eastAsia" w:ascii="宋体" w:hAnsi="宋体"/>
          <w:sz w:val="28"/>
          <w:szCs w:val="28"/>
        </w:rPr>
        <w:t>依据《中华人民共和国矿产资源法》及其实施细则等法律法规和国家有关方针政策，按照《国土资源部关于开展第三轮矿产资源规划编制工作的通知》（国土资发</w:t>
      </w:r>
      <w:r>
        <w:rPr>
          <w:rFonts w:ascii="宋体" w:hAnsi="宋体"/>
          <w:sz w:val="28"/>
          <w:szCs w:val="28"/>
        </w:rPr>
        <w:t>[2014]35</w:t>
      </w:r>
      <w:r>
        <w:rPr>
          <w:rFonts w:hint="eastAsia" w:ascii="宋体" w:hAnsi="宋体"/>
          <w:sz w:val="28"/>
          <w:szCs w:val="28"/>
        </w:rPr>
        <w:t>号）、《省国土资源厅转发省级矿产资源总体规划编制技术规程和市级矿产资源总体规划编制指导意见的通知》（黔国土资发</w:t>
      </w:r>
      <w:r>
        <w:rPr>
          <w:rFonts w:ascii="宋体" w:hAnsi="宋体"/>
          <w:sz w:val="28"/>
          <w:szCs w:val="28"/>
        </w:rPr>
        <w:t>[2015]31</w:t>
      </w:r>
      <w:r>
        <w:rPr>
          <w:rFonts w:hint="eastAsia" w:ascii="宋体" w:hAnsi="宋体"/>
          <w:sz w:val="28"/>
          <w:szCs w:val="28"/>
        </w:rPr>
        <w:t>号）、《贵州省矿产资源规划》（</w:t>
      </w:r>
      <w:r>
        <w:rPr>
          <w:rFonts w:ascii="宋体" w:hAnsi="宋体"/>
          <w:sz w:val="28"/>
          <w:szCs w:val="28"/>
        </w:rPr>
        <w:t>2016-2020</w:t>
      </w:r>
      <w:r>
        <w:rPr>
          <w:rFonts w:hint="eastAsia" w:ascii="宋体" w:hAnsi="宋体"/>
          <w:sz w:val="28"/>
          <w:szCs w:val="28"/>
        </w:rPr>
        <w:t>年）及贵州省贵安新区国土资源局对本轮矿产资源规划的要求</w:t>
      </w:r>
      <w:r>
        <w:rPr>
          <w:rFonts w:hint="eastAsia"/>
          <w:sz w:val="28"/>
          <w:szCs w:val="28"/>
        </w:rPr>
        <w:t>，在贵安新区直管区有关部门、矿山企业等单位的积极配合支持下，《贵州省贵安新区直管区矿产资源总体规划（</w:t>
      </w:r>
      <w:r>
        <w:rPr>
          <w:sz w:val="28"/>
          <w:szCs w:val="28"/>
        </w:rPr>
        <w:t>2016—2020</w:t>
      </w:r>
      <w:r>
        <w:rPr>
          <w:rFonts w:hint="eastAsia"/>
          <w:sz w:val="28"/>
          <w:szCs w:val="28"/>
        </w:rPr>
        <w:t>年）》（以下简称《规划》）己按照要求编制完成。为了促进对本《规划》的了解和有利于贯彻实施，就编制的有关问题说明如下：</w:t>
      </w:r>
    </w:p>
    <w:p w14:paraId="7AEA1022">
      <w:pPr>
        <w:ind w:firstLine="0" w:firstLineChars="0"/>
        <w:jc w:val="left"/>
        <w:rPr>
          <w:b/>
          <w:sz w:val="28"/>
          <w:szCs w:val="28"/>
        </w:rPr>
      </w:pPr>
      <w:r>
        <w:rPr>
          <w:rFonts w:hint="eastAsia"/>
          <w:b/>
          <w:sz w:val="28"/>
          <w:szCs w:val="28"/>
        </w:rPr>
        <w:t>一、规划编制的开展与完成</w:t>
      </w:r>
    </w:p>
    <w:p w14:paraId="7784EBE7">
      <w:pPr>
        <w:ind w:firstLine="0" w:firstLineChars="0"/>
        <w:rPr>
          <w:sz w:val="28"/>
          <w:szCs w:val="28"/>
        </w:rPr>
      </w:pPr>
      <w:r>
        <w:rPr>
          <w:rFonts w:hint="eastAsia"/>
          <w:sz w:val="28"/>
          <w:szCs w:val="28"/>
        </w:rPr>
        <w:t>《规划》编制工作经历了专题研究；进一步按要求开展调研；起草完成文本和附表、附图的编制；征求意见进行修改，完成预审稿等几个主要阶段。规划基准年为</w:t>
      </w:r>
      <w:r>
        <w:rPr>
          <w:sz w:val="28"/>
          <w:szCs w:val="28"/>
        </w:rPr>
        <w:t>2015</w:t>
      </w:r>
      <w:r>
        <w:rPr>
          <w:rFonts w:hint="eastAsia"/>
          <w:sz w:val="28"/>
          <w:szCs w:val="28"/>
        </w:rPr>
        <w:t>年，所采用资料年份一般截止到</w:t>
      </w:r>
      <w:r>
        <w:rPr>
          <w:sz w:val="28"/>
          <w:szCs w:val="28"/>
        </w:rPr>
        <w:t>2020</w:t>
      </w:r>
      <w:r>
        <w:rPr>
          <w:rFonts w:hint="eastAsia"/>
          <w:sz w:val="28"/>
          <w:szCs w:val="28"/>
        </w:rPr>
        <w:t>年底，部份采用到</w:t>
      </w:r>
      <w:r>
        <w:rPr>
          <w:sz w:val="28"/>
          <w:szCs w:val="28"/>
        </w:rPr>
        <w:t>2030</w:t>
      </w:r>
      <w:r>
        <w:rPr>
          <w:rFonts w:hint="eastAsia"/>
          <w:sz w:val="28"/>
          <w:szCs w:val="28"/>
        </w:rPr>
        <w:t>年底。</w:t>
      </w:r>
    </w:p>
    <w:p w14:paraId="351D2AB7">
      <w:pPr>
        <w:ind w:firstLine="560"/>
        <w:rPr>
          <w:sz w:val="28"/>
          <w:szCs w:val="28"/>
        </w:rPr>
      </w:pPr>
      <w:r>
        <w:rPr>
          <w:sz w:val="28"/>
          <w:szCs w:val="28"/>
        </w:rPr>
        <w:t>2017</w:t>
      </w:r>
      <w:r>
        <w:rPr>
          <w:rFonts w:hint="eastAsia"/>
          <w:sz w:val="28"/>
          <w:szCs w:val="28"/>
        </w:rPr>
        <w:t>年</w:t>
      </w:r>
      <w:r>
        <w:rPr>
          <w:sz w:val="28"/>
          <w:szCs w:val="28"/>
        </w:rPr>
        <w:t>5</w:t>
      </w:r>
      <w:r>
        <w:rPr>
          <w:rFonts w:hint="eastAsia"/>
          <w:sz w:val="28"/>
          <w:szCs w:val="28"/>
        </w:rPr>
        <w:t>月，贵安新区直管区管委会成立了矿产资源总体规划领导小组，并对规划编制做了安排，规划领导小组，负责领导整个编制工作，并相应设立规划编制组，由新区国土资源局唐升贵副局长负责组建了规划编制组</w:t>
      </w:r>
      <w:r>
        <w:rPr>
          <w:sz w:val="28"/>
          <w:szCs w:val="28"/>
        </w:rPr>
        <w:t>,</w:t>
      </w:r>
      <w:r>
        <w:rPr>
          <w:rFonts w:hint="eastAsia"/>
          <w:sz w:val="28"/>
          <w:szCs w:val="28"/>
        </w:rPr>
        <w:t>具体从事规划的编制工作。</w:t>
      </w:r>
    </w:p>
    <w:p w14:paraId="1C0CF9DD">
      <w:pPr>
        <w:ind w:firstLine="560"/>
        <w:rPr>
          <w:sz w:val="28"/>
          <w:szCs w:val="28"/>
        </w:rPr>
      </w:pPr>
      <w:r>
        <w:rPr>
          <w:sz w:val="28"/>
          <w:szCs w:val="28"/>
        </w:rPr>
        <w:t>2017</w:t>
      </w:r>
      <w:r>
        <w:rPr>
          <w:rFonts w:hint="eastAsia"/>
          <w:sz w:val="28"/>
          <w:szCs w:val="28"/>
        </w:rPr>
        <w:t>年</w:t>
      </w:r>
      <w:r>
        <w:rPr>
          <w:sz w:val="28"/>
          <w:szCs w:val="28"/>
        </w:rPr>
        <w:t>5</w:t>
      </w:r>
      <w:r>
        <w:rPr>
          <w:rFonts w:hint="eastAsia"/>
          <w:sz w:val="28"/>
          <w:szCs w:val="28"/>
        </w:rPr>
        <w:t>～</w:t>
      </w:r>
      <w:r>
        <w:rPr>
          <w:sz w:val="28"/>
          <w:szCs w:val="28"/>
        </w:rPr>
        <w:t>8</w:t>
      </w:r>
      <w:r>
        <w:rPr>
          <w:rFonts w:hint="eastAsia"/>
          <w:sz w:val="28"/>
          <w:szCs w:val="28"/>
        </w:rPr>
        <w:t>月，按贵州省国土资源厅的有关要求，开展了规划编制的前期专题研究等工作。为了协调配合，共同编制好矿产资源规划，在贵安新区直管区国土资源局的组织下及贵州有色地质工程勘察公司的参与下，开展了相应的一系列工作。其中最重要的是在直管区管委会和相关单位、部门的参与和支持配合下，开展了与贵安新区只管区经济社会发展密切相关的地热资源、建筑用砂等主要优势矿产的“资源潜力评价与规划研究”。同时结合《贵安新区总体规划》（</w:t>
      </w:r>
      <w:r>
        <w:rPr>
          <w:sz w:val="28"/>
          <w:szCs w:val="28"/>
        </w:rPr>
        <w:t>2013-2030</w:t>
      </w:r>
      <w:r>
        <w:rPr>
          <w:rFonts w:hint="eastAsia"/>
          <w:sz w:val="28"/>
          <w:szCs w:val="28"/>
        </w:rPr>
        <w:t>年）的部分研究成果以及区内的各项地质成果作了初步规划研究。</w:t>
      </w:r>
    </w:p>
    <w:p w14:paraId="4F7B2D73">
      <w:pPr>
        <w:ind w:firstLine="560"/>
        <w:rPr>
          <w:sz w:val="28"/>
          <w:szCs w:val="28"/>
        </w:rPr>
      </w:pPr>
      <w:r>
        <w:rPr>
          <w:rFonts w:hint="eastAsia"/>
          <w:sz w:val="28"/>
          <w:szCs w:val="28"/>
        </w:rPr>
        <w:t>为了高质量完成贵安新区直管区内矿产资源规划的编制，落实各项要求，提交符合规定的成果，编制组以部、厅、局有关文件和《贵州省矿产资源总体规划》（报送稿）为根据。开展了深入的调研（或相关专题研究）和资料的广泛收集，以满足规划编制的需要。编制组还有针对性地深入到县级有关主管部门以及各主要矿山企业单位，就贵安新区直管区经济社会发展对矿产的需求，规划的有关目标与主要指标（含矿产品总量调控、矿业产值、矿山最低规划、资源合理利用等指标）和矿产勘查与开发利用布局，鼓励、限制、禁止开采区的划分，与矿山企业矿产开发利用状况及存在问题，矿山生态环境保护与恢复治理等诸多方面，进行了深入的调研、座谈和广泛地征求意见。充分的调研与资料的全面收集，为规划的顺利编制奠定了坚实的基础。</w:t>
      </w:r>
    </w:p>
    <w:p w14:paraId="2B15E02F">
      <w:pPr>
        <w:ind w:firstLine="560"/>
        <w:rPr>
          <w:sz w:val="28"/>
          <w:szCs w:val="28"/>
        </w:rPr>
      </w:pPr>
      <w:r>
        <w:rPr>
          <w:rFonts w:hint="eastAsia"/>
          <w:sz w:val="28"/>
          <w:szCs w:val="28"/>
        </w:rPr>
        <w:t>在完成专题研究和进一步调研与广泛获取资料的基础上，按照国土资源部（厅）颁发的要求，以研讨制定的本县的“编写大纲”为依据，进行了文本的起草和附表、附图的编制。</w:t>
      </w:r>
    </w:p>
    <w:p w14:paraId="0FE7B284">
      <w:pPr>
        <w:ind w:firstLine="560"/>
        <w:rPr>
          <w:sz w:val="28"/>
          <w:szCs w:val="28"/>
        </w:rPr>
      </w:pPr>
      <w:r>
        <w:rPr>
          <w:rFonts w:hint="eastAsia"/>
          <w:sz w:val="28"/>
          <w:szCs w:val="28"/>
        </w:rPr>
        <w:t>在贵安新区直管区国土资源局的领导下，于</w:t>
      </w:r>
      <w:r>
        <w:rPr>
          <w:sz w:val="28"/>
          <w:szCs w:val="28"/>
        </w:rPr>
        <w:t>2017</w:t>
      </w:r>
      <w:r>
        <w:rPr>
          <w:rFonts w:hint="eastAsia"/>
          <w:sz w:val="28"/>
          <w:szCs w:val="28"/>
        </w:rPr>
        <w:t>年</w:t>
      </w:r>
      <w:r>
        <w:rPr>
          <w:sz w:val="28"/>
          <w:szCs w:val="28"/>
        </w:rPr>
        <w:t>7</w:t>
      </w:r>
      <w:r>
        <w:rPr>
          <w:rFonts w:hint="eastAsia"/>
          <w:sz w:val="28"/>
          <w:szCs w:val="28"/>
        </w:rPr>
        <w:t>月底完成了《规划》文、图、表的编制工作，上述编制工作完成后，首先在编制单位内部邀请相关专家进行初审。编制组根据内部初审意见及专家意见进行修改后，规划初审稿于</w:t>
      </w:r>
      <w:r>
        <w:rPr>
          <w:sz w:val="28"/>
          <w:szCs w:val="28"/>
        </w:rPr>
        <w:t>2017</w:t>
      </w:r>
      <w:r>
        <w:rPr>
          <w:rFonts w:hint="eastAsia"/>
          <w:sz w:val="28"/>
          <w:szCs w:val="28"/>
        </w:rPr>
        <w:t>年</w:t>
      </w:r>
      <w:r>
        <w:rPr>
          <w:sz w:val="28"/>
          <w:szCs w:val="28"/>
        </w:rPr>
        <w:t>8</w:t>
      </w:r>
      <w:r>
        <w:rPr>
          <w:rFonts w:hint="eastAsia"/>
          <w:sz w:val="28"/>
          <w:szCs w:val="28"/>
        </w:rPr>
        <w:t>月送贵安新区直管区矿产资源领导小组办公室。规划领导小组将规划初审稿送交直管区管委会，由相关局、委征求意见。编制组根据初审意见，进行了系统修改完善，在直管区各有关方面的积极支持配合，经贵安新区管委会的领导与规划编制人员的共同努力，《规划》于</w:t>
      </w:r>
      <w:r>
        <w:rPr>
          <w:sz w:val="28"/>
          <w:szCs w:val="28"/>
        </w:rPr>
        <w:t>2017</w:t>
      </w:r>
      <w:r>
        <w:rPr>
          <w:rFonts w:hint="eastAsia"/>
          <w:sz w:val="28"/>
          <w:szCs w:val="28"/>
        </w:rPr>
        <w:t>年</w:t>
      </w:r>
      <w:r>
        <w:rPr>
          <w:sz w:val="28"/>
          <w:szCs w:val="28"/>
        </w:rPr>
        <w:t>8</w:t>
      </w:r>
      <w:r>
        <w:rPr>
          <w:rFonts w:hint="eastAsia"/>
          <w:sz w:val="28"/>
          <w:szCs w:val="28"/>
        </w:rPr>
        <w:t>月初按要求，较好地完成了编制，形成了规划初审稿。于</w:t>
      </w:r>
      <w:r>
        <w:rPr>
          <w:sz w:val="28"/>
          <w:szCs w:val="28"/>
        </w:rPr>
        <w:t>2017</w:t>
      </w:r>
      <w:r>
        <w:rPr>
          <w:rFonts w:hint="eastAsia"/>
          <w:sz w:val="28"/>
          <w:szCs w:val="28"/>
        </w:rPr>
        <w:t>年</w:t>
      </w:r>
      <w:r>
        <w:rPr>
          <w:sz w:val="28"/>
          <w:szCs w:val="28"/>
        </w:rPr>
        <w:t>8</w:t>
      </w:r>
      <w:r>
        <w:rPr>
          <w:rFonts w:hint="eastAsia"/>
          <w:sz w:val="28"/>
          <w:szCs w:val="28"/>
        </w:rPr>
        <w:t>月</w:t>
      </w:r>
      <w:r>
        <w:rPr>
          <w:sz w:val="28"/>
          <w:szCs w:val="28"/>
        </w:rPr>
        <w:t>8</w:t>
      </w:r>
      <w:r>
        <w:rPr>
          <w:rFonts w:hint="eastAsia"/>
          <w:sz w:val="28"/>
          <w:szCs w:val="28"/>
        </w:rPr>
        <w:t>日，报告评审通过，并交于贵安新区直管区国土资源局，并组织管委会相关部门对报告进行审查。</w:t>
      </w:r>
    </w:p>
    <w:p w14:paraId="7F642B36">
      <w:pPr>
        <w:ind w:firstLine="0" w:firstLineChars="0"/>
        <w:jc w:val="left"/>
        <w:rPr>
          <w:b/>
          <w:sz w:val="28"/>
          <w:szCs w:val="28"/>
        </w:rPr>
      </w:pPr>
      <w:r>
        <w:rPr>
          <w:rFonts w:hint="eastAsia"/>
          <w:b/>
          <w:sz w:val="28"/>
          <w:szCs w:val="28"/>
        </w:rPr>
        <w:t>二、规划编制的指导思想、遵循原则</w:t>
      </w:r>
    </w:p>
    <w:p w14:paraId="5C245675">
      <w:pPr>
        <w:ind w:firstLine="562"/>
        <w:jc w:val="left"/>
        <w:rPr>
          <w:b/>
          <w:sz w:val="28"/>
          <w:szCs w:val="28"/>
        </w:rPr>
      </w:pPr>
      <w:r>
        <w:rPr>
          <w:b/>
          <w:sz w:val="28"/>
          <w:szCs w:val="28"/>
        </w:rPr>
        <w:t>1</w:t>
      </w:r>
      <w:r>
        <w:rPr>
          <w:rFonts w:hint="eastAsia"/>
          <w:b/>
          <w:sz w:val="28"/>
          <w:szCs w:val="28"/>
        </w:rPr>
        <w:t>、指导思想</w:t>
      </w:r>
    </w:p>
    <w:p w14:paraId="683B6F56">
      <w:pPr>
        <w:ind w:firstLine="560"/>
        <w:rPr>
          <w:sz w:val="28"/>
          <w:szCs w:val="28"/>
        </w:rPr>
      </w:pPr>
      <w:r>
        <w:rPr>
          <w:rFonts w:hint="eastAsia"/>
          <w:sz w:val="28"/>
          <w:szCs w:val="28"/>
        </w:rPr>
        <w:t>全面贯彻党的十八大和十八届三中、四中、五中、六中全会精神，深入贯彻习近平总书记系列重要讲话精神和治国理政新理念思想新战略，认真落实党中央、国务院决策部署，统筹推进“五位一体”总体布局和协调推进“四个全面”战略布局，牢固树立和贯彻落实创新、协调、绿色、开放、共享的发展理念，主导适应经济发展新常态，坚持尽职尽责保护国土资源、节约集约利用国土资源，尽心尽力维护群众权益，为贵安新区经济社会建设提供可靠的资源保障。</w:t>
      </w:r>
    </w:p>
    <w:p w14:paraId="2E11A77E">
      <w:pPr>
        <w:ind w:firstLine="562"/>
        <w:jc w:val="left"/>
        <w:rPr>
          <w:b/>
          <w:sz w:val="28"/>
          <w:szCs w:val="28"/>
        </w:rPr>
      </w:pPr>
      <w:r>
        <w:rPr>
          <w:b/>
          <w:sz w:val="28"/>
          <w:szCs w:val="28"/>
        </w:rPr>
        <w:t>2</w:t>
      </w:r>
      <w:r>
        <w:rPr>
          <w:rFonts w:hint="eastAsia"/>
          <w:b/>
          <w:sz w:val="28"/>
          <w:szCs w:val="28"/>
        </w:rPr>
        <w:t>、遵循原则</w:t>
      </w:r>
    </w:p>
    <w:p w14:paraId="72889786">
      <w:pPr>
        <w:ind w:firstLine="560"/>
        <w:rPr>
          <w:sz w:val="28"/>
          <w:szCs w:val="28"/>
        </w:rPr>
      </w:pPr>
      <w:r>
        <w:rPr>
          <w:rFonts w:hint="eastAsia"/>
          <w:sz w:val="28"/>
          <w:szCs w:val="28"/>
        </w:rPr>
        <w:t>（</w:t>
      </w:r>
      <w:r>
        <w:rPr>
          <w:sz w:val="28"/>
          <w:szCs w:val="28"/>
        </w:rPr>
        <w:t>1</w:t>
      </w:r>
      <w:r>
        <w:rPr>
          <w:rFonts w:hint="eastAsia"/>
          <w:sz w:val="28"/>
          <w:szCs w:val="28"/>
        </w:rPr>
        <w:t>）规划的编制既要以《贵州省矿产资源总体规划》为依据，又要符合贵安新区直管区的具体情况和矿产资源实际情况，保障贵安新区直管区国民经济和社会发展的需要，遵循客观规律，具备科学性和可操作性。</w:t>
      </w:r>
    </w:p>
    <w:p w14:paraId="07428876">
      <w:pPr>
        <w:ind w:firstLine="560"/>
        <w:rPr>
          <w:sz w:val="28"/>
          <w:szCs w:val="28"/>
        </w:rPr>
      </w:pPr>
      <w:r>
        <w:rPr>
          <w:rFonts w:hint="eastAsia"/>
          <w:sz w:val="28"/>
          <w:szCs w:val="28"/>
        </w:rPr>
        <w:t>（</w:t>
      </w:r>
      <w:r>
        <w:rPr>
          <w:sz w:val="28"/>
          <w:szCs w:val="28"/>
        </w:rPr>
        <w:t>2</w:t>
      </w:r>
      <w:r>
        <w:rPr>
          <w:rFonts w:hint="eastAsia"/>
          <w:sz w:val="28"/>
          <w:szCs w:val="28"/>
        </w:rPr>
        <w:t>）规划的编制要以市场为导向，通过政策引导和规划调控，使贵安新区直管区的矿产资源优势转化为市场优势和经济优势。</w:t>
      </w:r>
    </w:p>
    <w:p w14:paraId="51142994">
      <w:pPr>
        <w:ind w:firstLine="560"/>
        <w:rPr>
          <w:sz w:val="28"/>
          <w:szCs w:val="28"/>
        </w:rPr>
      </w:pPr>
      <w:r>
        <w:rPr>
          <w:rFonts w:hint="eastAsia"/>
          <w:sz w:val="28"/>
          <w:szCs w:val="28"/>
        </w:rPr>
        <w:t>（</w:t>
      </w:r>
      <w:r>
        <w:rPr>
          <w:sz w:val="28"/>
          <w:szCs w:val="28"/>
        </w:rPr>
        <w:t>3</w:t>
      </w:r>
      <w:r>
        <w:rPr>
          <w:rFonts w:hint="eastAsia"/>
          <w:sz w:val="28"/>
          <w:szCs w:val="28"/>
        </w:rPr>
        <w:t>）规划的编制要综合考虑经济效益、社会效益、资源效益和环境效益，正确处理好矿产资源开发利用与地区经济发展、其他自然资源利用和地质环境保护的关系。</w:t>
      </w:r>
    </w:p>
    <w:p w14:paraId="4187B714">
      <w:pPr>
        <w:ind w:firstLine="560"/>
        <w:rPr>
          <w:sz w:val="28"/>
          <w:szCs w:val="28"/>
        </w:rPr>
      </w:pPr>
      <w:r>
        <w:rPr>
          <w:rFonts w:hint="eastAsia"/>
          <w:sz w:val="28"/>
          <w:szCs w:val="28"/>
        </w:rPr>
        <w:t>（</w:t>
      </w:r>
      <w:r>
        <w:rPr>
          <w:sz w:val="28"/>
          <w:szCs w:val="28"/>
        </w:rPr>
        <w:t>4</w:t>
      </w:r>
      <w:r>
        <w:rPr>
          <w:rFonts w:hint="eastAsia"/>
          <w:sz w:val="28"/>
          <w:szCs w:val="28"/>
        </w:rPr>
        <w:t>）规划的编制要开发与保护并重，开发与节约并举，注重提高资源利用率，统筹安排，突出重点，兼顾一般。</w:t>
      </w:r>
    </w:p>
    <w:p w14:paraId="1522A884">
      <w:pPr>
        <w:ind w:firstLine="560"/>
        <w:rPr>
          <w:sz w:val="28"/>
          <w:szCs w:val="28"/>
        </w:rPr>
      </w:pPr>
      <w:r>
        <w:rPr>
          <w:rFonts w:hint="eastAsia"/>
          <w:sz w:val="28"/>
          <w:szCs w:val="28"/>
        </w:rPr>
        <w:t>（</w:t>
      </w:r>
      <w:r>
        <w:rPr>
          <w:sz w:val="28"/>
          <w:szCs w:val="28"/>
        </w:rPr>
        <w:t>5</w:t>
      </w:r>
      <w:r>
        <w:rPr>
          <w:rFonts w:hint="eastAsia"/>
          <w:sz w:val="28"/>
          <w:szCs w:val="28"/>
        </w:rPr>
        <w:t>）规划的编制要统一规划、合理布局、综合勘查、合理开采、综合利用。</w:t>
      </w:r>
    </w:p>
    <w:p w14:paraId="18C3E24F">
      <w:pPr>
        <w:ind w:firstLine="560"/>
        <w:rPr>
          <w:sz w:val="28"/>
          <w:szCs w:val="28"/>
        </w:rPr>
      </w:pPr>
      <w:r>
        <w:rPr>
          <w:rFonts w:hint="eastAsia"/>
          <w:sz w:val="28"/>
          <w:szCs w:val="28"/>
        </w:rPr>
        <w:t>（</w:t>
      </w:r>
      <w:r>
        <w:rPr>
          <w:sz w:val="28"/>
          <w:szCs w:val="28"/>
        </w:rPr>
        <w:t>6</w:t>
      </w:r>
      <w:r>
        <w:rPr>
          <w:rFonts w:hint="eastAsia"/>
          <w:sz w:val="28"/>
          <w:szCs w:val="28"/>
        </w:rPr>
        <w:t>）坚持环境优先，发展绿色产业，统筹资源开发的经济效益和环境效益，强化矿区生态保护，严禁在生态保护红线区勘查开发矿产资源，坚持青山绿水，牢牢守住青山、天蓝、水清、地洁四条生态线。大力发展绿色矿业，建设绿色矿业发展示范区。</w:t>
      </w:r>
    </w:p>
    <w:p w14:paraId="51484E74">
      <w:pPr>
        <w:ind w:firstLine="0" w:firstLineChars="0"/>
        <w:jc w:val="left"/>
        <w:rPr>
          <w:b/>
          <w:sz w:val="28"/>
          <w:szCs w:val="28"/>
        </w:rPr>
      </w:pPr>
      <w:r>
        <w:rPr>
          <w:rFonts w:hint="eastAsia"/>
          <w:b/>
          <w:sz w:val="28"/>
          <w:szCs w:val="28"/>
        </w:rPr>
        <w:t>三、规划内容</w:t>
      </w:r>
    </w:p>
    <w:p w14:paraId="48F00FC9">
      <w:pPr>
        <w:ind w:firstLine="560"/>
        <w:rPr>
          <w:sz w:val="28"/>
          <w:szCs w:val="28"/>
        </w:rPr>
      </w:pPr>
      <w:r>
        <w:rPr>
          <w:rFonts w:hint="eastAsia"/>
          <w:sz w:val="28"/>
          <w:szCs w:val="28"/>
        </w:rPr>
        <w:t>本《规划》主要由规划文本、附表、附图和编制说明四大部分组成。</w:t>
      </w:r>
    </w:p>
    <w:p w14:paraId="44D9B9C3">
      <w:pPr>
        <w:ind w:firstLine="562"/>
        <w:rPr>
          <w:b/>
          <w:sz w:val="28"/>
          <w:szCs w:val="28"/>
        </w:rPr>
      </w:pPr>
      <w:r>
        <w:rPr>
          <w:b/>
          <w:sz w:val="28"/>
          <w:szCs w:val="28"/>
        </w:rPr>
        <w:t>1</w:t>
      </w:r>
      <w:r>
        <w:rPr>
          <w:rFonts w:hint="eastAsia"/>
          <w:b/>
          <w:sz w:val="28"/>
          <w:szCs w:val="28"/>
        </w:rPr>
        <w:t>、规划文本</w:t>
      </w:r>
    </w:p>
    <w:p w14:paraId="1C7EF120">
      <w:pPr>
        <w:ind w:firstLine="560"/>
        <w:rPr>
          <w:sz w:val="28"/>
          <w:szCs w:val="28"/>
        </w:rPr>
      </w:pPr>
      <w:r>
        <w:rPr>
          <w:rFonts w:hint="eastAsia"/>
          <w:sz w:val="28"/>
          <w:szCs w:val="28"/>
        </w:rPr>
        <w:t>文本是规划的主体，是规划的集中发映。文本内容根据国土资源部和省国土资源厅颁发的市、县级矿产资源规划编写的内容要求进行而完成编制的。文本由十章二十节组成，全文约</w:t>
      </w:r>
      <w:r>
        <w:rPr>
          <w:sz w:val="28"/>
          <w:szCs w:val="28"/>
        </w:rPr>
        <w:t>2.2</w:t>
      </w:r>
      <w:r>
        <w:rPr>
          <w:rFonts w:hint="eastAsia"/>
          <w:sz w:val="28"/>
          <w:szCs w:val="28"/>
        </w:rPr>
        <w:t>万字。</w:t>
      </w:r>
    </w:p>
    <w:p w14:paraId="6860C031">
      <w:pPr>
        <w:ind w:firstLine="560"/>
        <w:rPr>
          <w:sz w:val="28"/>
          <w:szCs w:val="28"/>
        </w:rPr>
      </w:pPr>
      <w:r>
        <w:rPr>
          <w:rFonts w:hint="eastAsia"/>
          <w:sz w:val="28"/>
          <w:szCs w:val="28"/>
        </w:rPr>
        <w:t>第一部分总则：扼要阐述规划编制的目的依据、指导思想与原则、和遵循原则、适用范围与期限、基准年；</w:t>
      </w:r>
    </w:p>
    <w:p w14:paraId="42EADC6F">
      <w:pPr>
        <w:ind w:firstLine="560"/>
        <w:rPr>
          <w:sz w:val="28"/>
          <w:szCs w:val="28"/>
        </w:rPr>
      </w:pPr>
      <w:r>
        <w:rPr>
          <w:rFonts w:hint="eastAsia"/>
          <w:sz w:val="28"/>
          <w:szCs w:val="28"/>
        </w:rPr>
        <w:t>第二部分现状与形势：通过收集大量资料和深入调研分析，分析直管区内矿产资源的概况及开发利用现状，结合贵安新区直管区内经济和社会发展概况，分析直管区对矿产资源的需求与形势。</w:t>
      </w:r>
    </w:p>
    <w:p w14:paraId="4C6E337F">
      <w:pPr>
        <w:ind w:firstLine="560"/>
        <w:rPr>
          <w:sz w:val="28"/>
          <w:szCs w:val="28"/>
        </w:rPr>
      </w:pPr>
      <w:r>
        <w:rPr>
          <w:rFonts w:hint="eastAsia"/>
          <w:sz w:val="28"/>
          <w:szCs w:val="28"/>
        </w:rPr>
        <w:t>第三部分是指导原则与目标：是根据贵安新区直管区的实际情况，提出了规划期的总体目标，重点阐述至</w:t>
      </w:r>
      <w:r>
        <w:rPr>
          <w:sz w:val="28"/>
          <w:szCs w:val="28"/>
        </w:rPr>
        <w:t>2016</w:t>
      </w:r>
      <w:r>
        <w:rPr>
          <w:rFonts w:hint="eastAsia"/>
          <w:sz w:val="28"/>
          <w:szCs w:val="28"/>
        </w:rPr>
        <w:t>年至</w:t>
      </w:r>
      <w:r>
        <w:rPr>
          <w:sz w:val="28"/>
          <w:szCs w:val="28"/>
        </w:rPr>
        <w:t>2020</w:t>
      </w:r>
      <w:r>
        <w:rPr>
          <w:rFonts w:hint="eastAsia"/>
          <w:sz w:val="28"/>
          <w:szCs w:val="28"/>
        </w:rPr>
        <w:t>年规划期的规划目标，同时提出了为实现目标必须遵循的基本原则。</w:t>
      </w:r>
    </w:p>
    <w:p w14:paraId="1C912396">
      <w:pPr>
        <w:ind w:firstLine="560"/>
        <w:rPr>
          <w:sz w:val="28"/>
          <w:szCs w:val="28"/>
        </w:rPr>
      </w:pPr>
      <w:r>
        <w:rPr>
          <w:rFonts w:hint="eastAsia"/>
          <w:sz w:val="28"/>
          <w:szCs w:val="28"/>
        </w:rPr>
        <w:t>第四、五、六部分，矿产资源调查评价与勘查、开发利用与保护、矿山生态环境保护与恢复治理三方面的规划，是文本的主体，是紧密结合贵安新区直管区的实际，落实《贵州省矿产资源总体规划》的集中体现。</w:t>
      </w:r>
    </w:p>
    <w:p w14:paraId="41F09BA2">
      <w:pPr>
        <w:ind w:firstLine="560"/>
        <w:rPr>
          <w:sz w:val="28"/>
          <w:szCs w:val="28"/>
        </w:rPr>
      </w:pPr>
      <w:r>
        <w:rPr>
          <w:rFonts w:hint="eastAsia"/>
          <w:sz w:val="28"/>
          <w:szCs w:val="28"/>
        </w:rPr>
        <w:t>第七部分是积极发展绿色矿业：根据贵安新区直管区的实际情况，提出发展绿色矿业的相关建议等。</w:t>
      </w:r>
    </w:p>
    <w:p w14:paraId="73E3B26E">
      <w:pPr>
        <w:ind w:firstLine="560"/>
        <w:rPr>
          <w:sz w:val="28"/>
          <w:szCs w:val="28"/>
        </w:rPr>
      </w:pPr>
      <w:r>
        <w:rPr>
          <w:rFonts w:hint="eastAsia"/>
          <w:sz w:val="28"/>
          <w:szCs w:val="28"/>
        </w:rPr>
        <w:t>第八部分是矿业权设置区划及监督管理，是对区内矿业权的设置提出建议，同时是对矿产资源勘查开发利用保护及环境调查的监测方法，方向及主要措施。</w:t>
      </w:r>
    </w:p>
    <w:p w14:paraId="6D760EAE">
      <w:pPr>
        <w:ind w:firstLine="560"/>
        <w:rPr>
          <w:sz w:val="28"/>
          <w:szCs w:val="28"/>
        </w:rPr>
      </w:pPr>
      <w:r>
        <w:rPr>
          <w:rFonts w:hint="eastAsia"/>
          <w:sz w:val="28"/>
          <w:szCs w:val="28"/>
        </w:rPr>
        <w:t>第九部分是环境影响评价，初步分析直管区内矿产资源对环境影响与评价。</w:t>
      </w:r>
    </w:p>
    <w:p w14:paraId="5203818A">
      <w:pPr>
        <w:ind w:firstLine="560"/>
        <w:rPr>
          <w:sz w:val="28"/>
          <w:szCs w:val="28"/>
        </w:rPr>
      </w:pPr>
      <w:r>
        <w:rPr>
          <w:rFonts w:hint="eastAsia"/>
          <w:sz w:val="28"/>
          <w:szCs w:val="28"/>
        </w:rPr>
        <w:t>第十部分是保证规划实施的主要措施。是从实际出发，听取多方意见，并遵照厅、毕节市局指示要求，根据直管区的具体情况，有针对性地就保证规划实施而提出的七条主要措施。</w:t>
      </w:r>
    </w:p>
    <w:p w14:paraId="3AA51114">
      <w:pPr>
        <w:ind w:firstLine="562"/>
        <w:rPr>
          <w:b/>
          <w:sz w:val="28"/>
          <w:szCs w:val="28"/>
        </w:rPr>
      </w:pPr>
      <w:r>
        <w:rPr>
          <w:b/>
          <w:sz w:val="28"/>
          <w:szCs w:val="28"/>
        </w:rPr>
        <w:t>2</w:t>
      </w:r>
      <w:r>
        <w:rPr>
          <w:rFonts w:hint="eastAsia"/>
          <w:b/>
          <w:sz w:val="28"/>
          <w:szCs w:val="28"/>
        </w:rPr>
        <w:t>、规划附表</w:t>
      </w:r>
    </w:p>
    <w:p w14:paraId="45D57BD9">
      <w:pPr>
        <w:tabs>
          <w:tab w:val="right" w:leader="dot" w:pos="8296"/>
        </w:tabs>
        <w:ind w:firstLine="560"/>
        <w:jc w:val="left"/>
      </w:pPr>
      <w:r>
        <w:rPr>
          <w:rFonts w:hint="eastAsia" w:ascii="宋体" w:hAnsi="宋体"/>
          <w:sz w:val="28"/>
          <w:szCs w:val="28"/>
        </w:rPr>
        <w:t>按《省国土资源厅关于转发省级矿产资源总体规划编制技术规程和市级矿产资源总体规划编制指导意见的通知》（黔国土资发电</w:t>
      </w:r>
      <w:r>
        <w:rPr>
          <w:rFonts w:ascii="宋体" w:hAnsi="宋体"/>
          <w:sz w:val="28"/>
          <w:szCs w:val="28"/>
        </w:rPr>
        <w:t>[2015]31</w:t>
      </w:r>
      <w:r>
        <w:rPr>
          <w:rFonts w:hint="eastAsia" w:ascii="宋体" w:hAnsi="宋体"/>
          <w:sz w:val="28"/>
          <w:szCs w:val="28"/>
        </w:rPr>
        <w:t>号）文进行，完成了</w:t>
      </w:r>
      <w:r>
        <w:rPr>
          <w:rFonts w:ascii="宋体" w:hAnsi="宋体"/>
          <w:sz w:val="28"/>
          <w:szCs w:val="28"/>
        </w:rPr>
        <w:t>13</w:t>
      </w:r>
      <w:r>
        <w:rPr>
          <w:rFonts w:hint="eastAsia" w:ascii="宋体" w:hAnsi="宋体"/>
          <w:sz w:val="28"/>
          <w:szCs w:val="28"/>
        </w:rPr>
        <w:t>个附表（包括</w:t>
      </w:r>
      <w:r>
        <w:rPr>
          <w:rFonts w:hint="eastAsia"/>
          <w:sz w:val="28"/>
          <w:szCs w:val="28"/>
        </w:rPr>
        <w:t>贵安新区直管区主要矿产资源储量表、贵安新区直管区主要矿区</w:t>
      </w:r>
      <w:r>
        <w:rPr>
          <w:sz w:val="28"/>
          <w:szCs w:val="28"/>
        </w:rPr>
        <w:t>(</w:t>
      </w:r>
      <w:r>
        <w:rPr>
          <w:rFonts w:hint="eastAsia"/>
          <w:sz w:val="28"/>
          <w:szCs w:val="28"/>
        </w:rPr>
        <w:t>床</w:t>
      </w:r>
      <w:r>
        <w:rPr>
          <w:sz w:val="28"/>
          <w:szCs w:val="28"/>
        </w:rPr>
        <w:t>)</w:t>
      </w:r>
      <w:r>
        <w:rPr>
          <w:rFonts w:hint="eastAsia"/>
          <w:sz w:val="28"/>
          <w:szCs w:val="28"/>
        </w:rPr>
        <w:t>资源储量基本情况表、贵安新区直管区主要矿产资源开发利用现状表、贵安新区直管区主要矿山开发利用现状表、贵安新区直管区主要矿产采矿权现状表、贵安新区直管区主要矿产品产量、需求量及预测表、贵安新区直管区矿产资源调查评价分区表、贵安新区直管区矿产资源勘查分区表、贵安新区直管区矿产资源开采分区表、风景区、自然保护区状况表、重要历史文物与名胜古迹保护区状况表、贵安新区直管区主要矿区最低开采区规模规划表、贵安新区直管区矿山生态环境恢复治理规划表</w:t>
      </w:r>
      <w:r>
        <w:rPr>
          <w:rFonts w:hint="eastAsia" w:ascii="宋体" w:hAnsi="宋体"/>
          <w:sz w:val="28"/>
          <w:szCs w:val="28"/>
        </w:rPr>
        <w:t>）。</w:t>
      </w:r>
    </w:p>
    <w:p w14:paraId="66EEE9BA">
      <w:pPr>
        <w:ind w:firstLine="562"/>
        <w:rPr>
          <w:b/>
          <w:sz w:val="28"/>
          <w:szCs w:val="28"/>
        </w:rPr>
      </w:pPr>
      <w:r>
        <w:rPr>
          <w:b/>
          <w:sz w:val="28"/>
          <w:szCs w:val="28"/>
        </w:rPr>
        <w:t>3</w:t>
      </w:r>
      <w:r>
        <w:rPr>
          <w:rFonts w:hint="eastAsia"/>
          <w:b/>
          <w:sz w:val="28"/>
          <w:szCs w:val="28"/>
        </w:rPr>
        <w:t>、规划附图</w:t>
      </w:r>
    </w:p>
    <w:p w14:paraId="22900C63">
      <w:pPr>
        <w:ind w:firstLine="560"/>
        <w:rPr>
          <w:rFonts w:ascii="宋体"/>
          <w:sz w:val="28"/>
          <w:szCs w:val="28"/>
        </w:rPr>
      </w:pPr>
      <w:r>
        <w:rPr>
          <w:rFonts w:hint="eastAsia"/>
          <w:sz w:val="28"/>
          <w:szCs w:val="28"/>
        </w:rPr>
        <w:t>共编制了四幅附图</w:t>
      </w:r>
      <w:r>
        <w:rPr>
          <w:sz w:val="28"/>
          <w:szCs w:val="28"/>
        </w:rPr>
        <w:t>—</w:t>
      </w:r>
      <w:r>
        <w:rPr>
          <w:rFonts w:hint="eastAsia"/>
          <w:sz w:val="28"/>
          <w:szCs w:val="28"/>
        </w:rPr>
        <w:t>贵州省贵安新区直管区矿产资源分布图、贵州省贵安新区直管区矿产资源开发利用现状图、贵州省贵安新区直管区矿产资源开发与保护规划图和贵州省贵安新区直管区环境保护与恢复治理规划图，比例尺均为</w:t>
      </w:r>
      <w:r>
        <w:rPr>
          <w:sz w:val="28"/>
          <w:szCs w:val="28"/>
        </w:rPr>
        <w:t>1:5</w:t>
      </w:r>
      <w:r>
        <w:rPr>
          <w:rFonts w:hint="eastAsia"/>
          <w:sz w:val="28"/>
          <w:szCs w:val="28"/>
        </w:rPr>
        <w:t>万。各图幅内容要素与编制技术方法，基本按</w:t>
      </w:r>
      <w:r>
        <w:rPr>
          <w:rFonts w:hint="eastAsia" w:ascii="宋体" w:hAnsi="宋体"/>
          <w:sz w:val="28"/>
          <w:szCs w:val="28"/>
        </w:rPr>
        <w:t>《省国土资源厅关于转发省级矿产资源总体规划编制技术规程和市级矿产资源总体规划编制指导意见的通知》（黔国土资发电</w:t>
      </w:r>
      <w:r>
        <w:rPr>
          <w:rFonts w:ascii="宋体" w:hAnsi="宋体"/>
          <w:sz w:val="28"/>
          <w:szCs w:val="28"/>
        </w:rPr>
        <w:t>[2015]31</w:t>
      </w:r>
      <w:r>
        <w:rPr>
          <w:rFonts w:hint="eastAsia" w:ascii="宋体" w:hAnsi="宋体"/>
          <w:sz w:val="28"/>
          <w:szCs w:val="28"/>
        </w:rPr>
        <w:t>号）文进行。</w:t>
      </w:r>
    </w:p>
    <w:p w14:paraId="51947382">
      <w:pPr>
        <w:ind w:firstLine="560"/>
        <w:rPr>
          <w:rFonts w:ascii="宋体"/>
          <w:sz w:val="28"/>
          <w:szCs w:val="28"/>
        </w:rPr>
      </w:pPr>
      <w:r>
        <w:rPr>
          <w:rFonts w:hint="eastAsia" w:ascii="宋体" w:hAnsi="宋体"/>
          <w:sz w:val="28"/>
          <w:szCs w:val="28"/>
        </w:rPr>
        <w:t>在编图中，特别强调图件的直观性，如矿区、矿山、规划区等的名称、内容要素，均在图上直接反映，或在图边加表加以反映，而未通过查附表等有碍直接看图的作法。</w:t>
      </w:r>
    </w:p>
    <w:p w14:paraId="764524F9">
      <w:pPr>
        <w:ind w:firstLine="560"/>
        <w:rPr>
          <w:sz w:val="28"/>
          <w:szCs w:val="28"/>
        </w:rPr>
      </w:pPr>
      <w:r>
        <w:rPr>
          <w:rFonts w:hint="eastAsia"/>
          <w:sz w:val="28"/>
          <w:szCs w:val="28"/>
        </w:rPr>
        <w:t>《贵州省贵安新区直管区矿产资源分布图》，计上图矿产</w:t>
      </w:r>
      <w:r>
        <w:rPr>
          <w:sz w:val="28"/>
          <w:szCs w:val="28"/>
        </w:rPr>
        <w:t>9</w:t>
      </w:r>
      <w:r>
        <w:rPr>
          <w:rFonts w:hint="eastAsia"/>
          <w:sz w:val="28"/>
          <w:szCs w:val="28"/>
        </w:rPr>
        <w:t>种，大中型及重点小型共</w:t>
      </w:r>
      <w:r>
        <w:rPr>
          <w:sz w:val="28"/>
          <w:szCs w:val="28"/>
        </w:rPr>
        <w:t>47</w:t>
      </w:r>
      <w:r>
        <w:rPr>
          <w:rFonts w:hint="eastAsia"/>
          <w:sz w:val="28"/>
          <w:szCs w:val="28"/>
        </w:rPr>
        <w:t>处，计占直管区现有资源储量产地</w:t>
      </w:r>
      <w:r>
        <w:rPr>
          <w:sz w:val="28"/>
          <w:szCs w:val="28"/>
        </w:rPr>
        <w:t>90%</w:t>
      </w:r>
      <w:r>
        <w:rPr>
          <w:rFonts w:hint="eastAsia"/>
          <w:sz w:val="28"/>
          <w:szCs w:val="28"/>
        </w:rPr>
        <w:t>以上。</w:t>
      </w:r>
    </w:p>
    <w:p w14:paraId="17666915">
      <w:pPr>
        <w:ind w:firstLine="560"/>
        <w:rPr>
          <w:sz w:val="28"/>
          <w:szCs w:val="28"/>
        </w:rPr>
      </w:pPr>
      <w:r>
        <w:rPr>
          <w:rFonts w:hint="eastAsia"/>
          <w:sz w:val="28"/>
          <w:szCs w:val="28"/>
        </w:rPr>
        <w:t>《贵州省贵安新区直管区矿产资源开发利用现状图》，充分反映了贵安新区直管区优势矿产开采企业的状况。反映主要开采矿产有</w:t>
      </w:r>
      <w:r>
        <w:rPr>
          <w:sz w:val="28"/>
          <w:szCs w:val="28"/>
        </w:rPr>
        <w:t>5</w:t>
      </w:r>
      <w:r>
        <w:rPr>
          <w:rFonts w:hint="eastAsia"/>
          <w:sz w:val="28"/>
          <w:szCs w:val="28"/>
        </w:rPr>
        <w:t>中，全区具有一定生产规模的重要小型矿山企业，共</w:t>
      </w:r>
      <w:r>
        <w:rPr>
          <w:sz w:val="28"/>
          <w:szCs w:val="28"/>
        </w:rPr>
        <w:t>47</w:t>
      </w:r>
      <w:r>
        <w:rPr>
          <w:rFonts w:hint="eastAsia"/>
          <w:sz w:val="28"/>
          <w:szCs w:val="28"/>
        </w:rPr>
        <w:t>处均在图上进行了表示反映。</w:t>
      </w:r>
    </w:p>
    <w:p w14:paraId="72F0A2E4">
      <w:pPr>
        <w:ind w:firstLine="560"/>
        <w:rPr>
          <w:sz w:val="28"/>
          <w:szCs w:val="28"/>
        </w:rPr>
      </w:pPr>
      <w:r>
        <w:rPr>
          <w:rFonts w:hint="eastAsia"/>
          <w:sz w:val="28"/>
          <w:szCs w:val="28"/>
        </w:rPr>
        <w:t>《贵州省贵安新区直管区矿产资源开发与保护规划图》，反映了贵安新区直管区资源集中开发规划，区内重点鼓励、限制、禁止开采区。其中反映表示的禁止开采区</w:t>
      </w:r>
      <w:r>
        <w:rPr>
          <w:sz w:val="28"/>
          <w:szCs w:val="28"/>
        </w:rPr>
        <w:t>12</w:t>
      </w:r>
      <w:r>
        <w:rPr>
          <w:rFonts w:hint="eastAsia"/>
          <w:sz w:val="28"/>
          <w:szCs w:val="28"/>
        </w:rPr>
        <w:t>处、限制开采区</w:t>
      </w:r>
      <w:r>
        <w:rPr>
          <w:sz w:val="28"/>
          <w:szCs w:val="28"/>
        </w:rPr>
        <w:t>3</w:t>
      </w:r>
      <w:r>
        <w:rPr>
          <w:rFonts w:hint="eastAsia"/>
          <w:sz w:val="28"/>
          <w:szCs w:val="28"/>
        </w:rPr>
        <w:t>处、开采区</w:t>
      </w:r>
      <w:r>
        <w:rPr>
          <w:sz w:val="28"/>
          <w:szCs w:val="28"/>
        </w:rPr>
        <w:t>7</w:t>
      </w:r>
      <w:r>
        <w:rPr>
          <w:rFonts w:hint="eastAsia"/>
          <w:sz w:val="28"/>
          <w:szCs w:val="28"/>
        </w:rPr>
        <w:t>处。主要涉及地热水资源及建筑用砂等矿产。</w:t>
      </w:r>
    </w:p>
    <w:p w14:paraId="49B301D0">
      <w:pPr>
        <w:ind w:firstLine="560"/>
        <w:rPr>
          <w:sz w:val="28"/>
          <w:szCs w:val="28"/>
        </w:rPr>
      </w:pPr>
      <w:r>
        <w:rPr>
          <w:rFonts w:hint="eastAsia"/>
          <w:sz w:val="28"/>
          <w:szCs w:val="28"/>
        </w:rPr>
        <w:t>《贵州省贵安新区直管区环境保护与恢复治理规划图》，反映了区内矿山环境保护的基本情况与需要恢复治理的情况，有重点治理区</w:t>
      </w:r>
      <w:r>
        <w:rPr>
          <w:sz w:val="28"/>
          <w:szCs w:val="28"/>
        </w:rPr>
        <w:t>35</w:t>
      </w:r>
      <w:r>
        <w:rPr>
          <w:rFonts w:hint="eastAsia"/>
          <w:sz w:val="28"/>
          <w:szCs w:val="28"/>
        </w:rPr>
        <w:t>处，一般治理区</w:t>
      </w:r>
      <w:r>
        <w:rPr>
          <w:sz w:val="28"/>
          <w:szCs w:val="28"/>
        </w:rPr>
        <w:t>12</w:t>
      </w:r>
      <w:r>
        <w:rPr>
          <w:rFonts w:hint="eastAsia"/>
          <w:sz w:val="28"/>
          <w:szCs w:val="28"/>
        </w:rPr>
        <w:t>处。</w:t>
      </w:r>
    </w:p>
    <w:p w14:paraId="72164E91">
      <w:pPr>
        <w:ind w:firstLine="560"/>
        <w:rPr>
          <w:sz w:val="28"/>
          <w:szCs w:val="28"/>
        </w:rPr>
      </w:pPr>
      <w:r>
        <w:rPr>
          <w:rFonts w:hint="eastAsia"/>
          <w:sz w:val="28"/>
          <w:szCs w:val="28"/>
        </w:rPr>
        <w:t>综上，报告的图、文、表三者做到了相应对应，凡图上反映的内容要素、附表均有记载，文本也做到了重点归纳的阐述。</w:t>
      </w:r>
    </w:p>
    <w:p w14:paraId="4E6250B7">
      <w:pPr>
        <w:ind w:firstLine="0" w:firstLineChars="0"/>
        <w:jc w:val="left"/>
        <w:rPr>
          <w:b/>
          <w:sz w:val="28"/>
          <w:szCs w:val="28"/>
        </w:rPr>
      </w:pPr>
      <w:r>
        <w:rPr>
          <w:rFonts w:hint="eastAsia"/>
          <w:b/>
          <w:sz w:val="28"/>
          <w:szCs w:val="28"/>
        </w:rPr>
        <w:t>四、规划目标及主要指标</w:t>
      </w:r>
    </w:p>
    <w:p w14:paraId="23C67F65">
      <w:pPr>
        <w:ind w:firstLine="562"/>
        <w:rPr>
          <w:b/>
          <w:sz w:val="28"/>
          <w:szCs w:val="28"/>
        </w:rPr>
      </w:pPr>
      <w:r>
        <w:rPr>
          <w:b/>
          <w:sz w:val="28"/>
          <w:szCs w:val="28"/>
        </w:rPr>
        <w:t>1</w:t>
      </w:r>
      <w:r>
        <w:rPr>
          <w:rFonts w:hint="eastAsia"/>
          <w:b/>
          <w:sz w:val="28"/>
          <w:szCs w:val="28"/>
        </w:rPr>
        <w:t>、规划目标</w:t>
      </w:r>
    </w:p>
    <w:p w14:paraId="0C9E0F9C">
      <w:pPr>
        <w:ind w:firstLine="560"/>
        <w:jc w:val="left"/>
        <w:rPr>
          <w:sz w:val="28"/>
          <w:szCs w:val="28"/>
        </w:rPr>
      </w:pPr>
      <w:r>
        <w:rPr>
          <w:rFonts w:hint="eastAsia"/>
          <w:sz w:val="28"/>
          <w:szCs w:val="28"/>
        </w:rPr>
        <w:t>根据《贵安新区总体规划（</w:t>
      </w:r>
      <w:r>
        <w:rPr>
          <w:sz w:val="28"/>
          <w:szCs w:val="28"/>
        </w:rPr>
        <w:t>2013-2030</w:t>
      </w:r>
      <w:r>
        <w:rPr>
          <w:rFonts w:hint="eastAsia"/>
          <w:sz w:val="28"/>
          <w:szCs w:val="28"/>
        </w:rPr>
        <w:t>年）》、《贵州省贵安新区直管区砂石土资源开发规划（</w:t>
      </w:r>
      <w:r>
        <w:rPr>
          <w:sz w:val="28"/>
          <w:szCs w:val="28"/>
        </w:rPr>
        <w:t>2014-2020</w:t>
      </w:r>
      <w:r>
        <w:rPr>
          <w:rFonts w:hint="eastAsia"/>
          <w:sz w:val="28"/>
          <w:szCs w:val="28"/>
        </w:rPr>
        <w:t>年）》、《贵州省矿产资源总体规划》（</w:t>
      </w:r>
      <w:r>
        <w:rPr>
          <w:sz w:val="28"/>
          <w:szCs w:val="28"/>
        </w:rPr>
        <w:t>2016—2020</w:t>
      </w:r>
      <w:r>
        <w:rPr>
          <w:rFonts w:hint="eastAsia"/>
          <w:sz w:val="28"/>
          <w:szCs w:val="28"/>
        </w:rPr>
        <w:t>年），贵安新区直管区矿产资源勘查和开发利用与保护的总体目标是：基本满足经济快速增长对主要矿产的需要，切实加强主要矿产资源勘查，实现资源储量的有效增长，提高资源的可供性；充分利用“黔中经济区”的发展机遇，以市场为向导，经济效益为中心，发挥优势矿产的潜力，为建设贵安新区为西部重要的经济增长型、内陆开放型经济新高地和生态文明示范区提供保障。同时，调整与优化资源利用结构，提高资源利用率，实现资源利用方式由粗放型向集约型的转变，促进矿产的有效保护与合理开发利用；进一步加快绿色矿山建设，积极创建绿色矿业发展示范区；采取有效措施，使矿山生态环境得到明显改善，促进资源开发与生态建设和环境保护协调一致良性发展。</w:t>
      </w:r>
    </w:p>
    <w:p w14:paraId="0D855446">
      <w:pPr>
        <w:ind w:firstLine="562"/>
        <w:rPr>
          <w:b/>
          <w:sz w:val="28"/>
          <w:szCs w:val="28"/>
        </w:rPr>
      </w:pPr>
      <w:r>
        <w:rPr>
          <w:b/>
          <w:sz w:val="28"/>
          <w:szCs w:val="28"/>
        </w:rPr>
        <w:t>2</w:t>
      </w:r>
      <w:r>
        <w:rPr>
          <w:rFonts w:hint="eastAsia"/>
          <w:b/>
          <w:sz w:val="28"/>
          <w:szCs w:val="28"/>
        </w:rPr>
        <w:t>、主要规划指标</w:t>
      </w:r>
    </w:p>
    <w:p w14:paraId="15D95550">
      <w:pPr>
        <w:ind w:firstLine="560"/>
        <w:jc w:val="left"/>
        <w:rPr>
          <w:sz w:val="28"/>
          <w:szCs w:val="28"/>
        </w:rPr>
      </w:pPr>
      <w:r>
        <w:rPr>
          <w:rFonts w:hint="eastAsia"/>
          <w:sz w:val="28"/>
          <w:szCs w:val="28"/>
        </w:rPr>
        <w:t>根据《贵州省矿产资源总体规划》（</w:t>
      </w:r>
      <w:r>
        <w:rPr>
          <w:sz w:val="28"/>
          <w:szCs w:val="28"/>
        </w:rPr>
        <w:t>2016—2020</w:t>
      </w:r>
      <w:r>
        <w:rPr>
          <w:rFonts w:hint="eastAsia"/>
          <w:sz w:val="28"/>
          <w:szCs w:val="28"/>
        </w:rPr>
        <w:t>年）：将贵安新区浅层地温能资源调查评价作为重点调查评价区；重点完成贵安新区中心城市综合地质调查，查明城市发展的基础地质条件和主要地质问题。在本轮规划中贵安新区浅层地温能资源调查评价、贵安新区中心城市综合地质调查得到了具体的落实。</w:t>
      </w:r>
    </w:p>
    <w:p w14:paraId="68208CC1">
      <w:pPr>
        <w:ind w:firstLine="560"/>
        <w:rPr>
          <w:sz w:val="28"/>
          <w:szCs w:val="28"/>
        </w:rPr>
      </w:pPr>
      <w:r>
        <w:rPr>
          <w:rFonts w:hint="eastAsia"/>
          <w:sz w:val="28"/>
          <w:szCs w:val="28"/>
        </w:rPr>
        <w:t>（</w:t>
      </w:r>
      <w:r>
        <w:rPr>
          <w:sz w:val="28"/>
          <w:szCs w:val="28"/>
        </w:rPr>
        <w:t>1</w:t>
      </w:r>
      <w:r>
        <w:rPr>
          <w:rFonts w:hint="eastAsia"/>
          <w:sz w:val="28"/>
          <w:szCs w:val="28"/>
        </w:rPr>
        <w:t>）基础地质调查与矿产资源勘查</w:t>
      </w:r>
    </w:p>
    <w:p w14:paraId="47FD7E5D">
      <w:pPr>
        <w:ind w:firstLine="560"/>
        <w:rPr>
          <w:sz w:val="28"/>
          <w:szCs w:val="28"/>
        </w:rPr>
      </w:pPr>
      <w:r>
        <w:rPr>
          <w:rFonts w:hint="eastAsia"/>
          <w:sz w:val="28"/>
          <w:szCs w:val="28"/>
        </w:rPr>
        <w:t>贯彻执行公益性基础地质工作与商业性勘查分开运行的新机制，多元化、多渠道筹集资金，加强调查评价与勘查工作的力度；积极引导、鼓励商业性矿产勘查，使重要矿产的储采比有较显著的改善；有针对性地开展既具有成矿地质条件，又具有良好找矿前景矿产的调查，形成新的后备资源基地。</w:t>
      </w:r>
    </w:p>
    <w:p w14:paraId="553F6B14">
      <w:pPr>
        <w:ind w:firstLine="560"/>
        <w:rPr>
          <w:sz w:val="28"/>
          <w:szCs w:val="28"/>
        </w:rPr>
      </w:pPr>
      <w:r>
        <w:rPr>
          <w:rFonts w:hint="eastAsia"/>
          <w:sz w:val="28"/>
          <w:szCs w:val="28"/>
        </w:rPr>
        <w:t>商业性勘查重点是提高对高峰镇、马场镇的地热水资源、马场镇的建筑用砂勘查。公益性勘查主要为</w:t>
      </w:r>
      <w:r>
        <w:rPr>
          <w:sz w:val="28"/>
          <w:szCs w:val="28"/>
        </w:rPr>
        <w:t>1:5</w:t>
      </w:r>
      <w:r>
        <w:rPr>
          <w:rFonts w:hint="eastAsia"/>
          <w:sz w:val="28"/>
          <w:szCs w:val="28"/>
        </w:rPr>
        <w:t>万耕地质量地球化学调查和浅层低温能资源调查评价。</w:t>
      </w:r>
    </w:p>
    <w:p w14:paraId="30E6BEB9">
      <w:pPr>
        <w:ind w:firstLine="560"/>
        <w:rPr>
          <w:sz w:val="28"/>
          <w:szCs w:val="28"/>
        </w:rPr>
      </w:pPr>
      <w:r>
        <w:rPr>
          <w:rFonts w:hint="eastAsia"/>
          <w:sz w:val="28"/>
          <w:szCs w:val="28"/>
        </w:rPr>
        <w:t>（</w:t>
      </w:r>
      <w:r>
        <w:rPr>
          <w:sz w:val="28"/>
          <w:szCs w:val="28"/>
        </w:rPr>
        <w:t>2</w:t>
      </w:r>
      <w:r>
        <w:rPr>
          <w:rFonts w:hint="eastAsia"/>
          <w:sz w:val="28"/>
          <w:szCs w:val="28"/>
        </w:rPr>
        <w:t>）矿产资源开发利用与保护</w:t>
      </w:r>
    </w:p>
    <w:p w14:paraId="54A54F17">
      <w:pPr>
        <w:ind w:firstLine="560"/>
        <w:rPr>
          <w:sz w:val="28"/>
          <w:szCs w:val="28"/>
        </w:rPr>
      </w:pPr>
      <w:r>
        <w:rPr>
          <w:rFonts w:hint="eastAsia"/>
          <w:sz w:val="28"/>
          <w:szCs w:val="28"/>
        </w:rPr>
        <w:t>地热水资源开发利用。积极推进地热资源的开发速度和高效利用，建设以温泉度假和康体养生为重点，集休闲旅游、商务会议、生态人居等功能为一体的休闲旅游基地。使地热旅游资源成为新区直管区的支柱产业、特色产业。争取到</w:t>
      </w:r>
      <w:r>
        <w:rPr>
          <w:sz w:val="28"/>
          <w:szCs w:val="28"/>
        </w:rPr>
        <w:t>2020</w:t>
      </w:r>
      <w:r>
        <w:rPr>
          <w:rFonts w:hint="eastAsia"/>
          <w:sz w:val="28"/>
          <w:szCs w:val="28"/>
        </w:rPr>
        <w:t>年，区内地热井开发利用</w:t>
      </w:r>
      <w:r>
        <w:rPr>
          <w:sz w:val="28"/>
          <w:szCs w:val="28"/>
        </w:rPr>
        <w:t>2</w:t>
      </w:r>
      <w:r>
        <w:rPr>
          <w:rFonts w:hint="eastAsia"/>
          <w:sz w:val="28"/>
          <w:szCs w:val="28"/>
        </w:rPr>
        <w:t>处。同时制定地热资源开发利用管理办法，使新区直管区地热资源勘查、开发利用有序进行；建立地热资源动态监测信息管理系统和管理体系，严格控制各地热水井资源开采量，消除无证开采、超量开采等现象，建立地热水有偿使用制度，有效保护资源；建立地热地质环境和生态环境保护的管理与监督体系，加强地热尾水排放的监管。</w:t>
      </w:r>
    </w:p>
    <w:p w14:paraId="627CA7E7">
      <w:pPr>
        <w:ind w:firstLine="560"/>
        <w:rPr>
          <w:sz w:val="28"/>
          <w:szCs w:val="28"/>
        </w:rPr>
      </w:pPr>
      <w:r>
        <w:rPr>
          <w:rFonts w:hint="eastAsia"/>
          <w:sz w:val="28"/>
          <w:szCs w:val="28"/>
        </w:rPr>
        <w:t>砂石矿资源开发利用与保护。贵安新区直管区目前处于积极建设基础设置中，对砂石矿资源的需求量大。积极推进砂石矿的资源的开发利用，保障区内建设的需求。科学确定砂石矿资源开发利用总量，优化布局砂石矿山；控制矿山总数，提高砂石矿资源开发利用水平</w:t>
      </w:r>
      <w:r>
        <w:rPr>
          <w:sz w:val="28"/>
          <w:szCs w:val="28"/>
        </w:rPr>
        <w:t>;</w:t>
      </w:r>
      <w:r>
        <w:rPr>
          <w:rFonts w:hint="eastAsia"/>
          <w:sz w:val="28"/>
          <w:szCs w:val="28"/>
        </w:rPr>
        <w:t>按照绿色矿业的要求，建设绿色矿山，做到资源开发与环境保护并重，促进资源开发与资源保护、生态建设、环境保护等协调发展。到</w:t>
      </w:r>
      <w:r>
        <w:rPr>
          <w:sz w:val="28"/>
          <w:szCs w:val="28"/>
        </w:rPr>
        <w:t>2020</w:t>
      </w:r>
      <w:r>
        <w:rPr>
          <w:rFonts w:hint="eastAsia"/>
          <w:sz w:val="28"/>
          <w:szCs w:val="28"/>
        </w:rPr>
        <w:t>年，建设</w:t>
      </w:r>
      <w:r>
        <w:rPr>
          <w:sz w:val="28"/>
          <w:szCs w:val="28"/>
        </w:rPr>
        <w:t>5</w:t>
      </w:r>
      <w:r>
        <w:rPr>
          <w:rFonts w:hint="eastAsia"/>
          <w:sz w:val="28"/>
          <w:szCs w:val="28"/>
        </w:rPr>
        <w:t>个生产规模大型的建筑用砂开采矿山，创建</w:t>
      </w:r>
      <w:r>
        <w:rPr>
          <w:sz w:val="28"/>
          <w:szCs w:val="28"/>
        </w:rPr>
        <w:t>1</w:t>
      </w:r>
      <w:r>
        <w:rPr>
          <w:rFonts w:hint="eastAsia"/>
          <w:sz w:val="28"/>
          <w:szCs w:val="28"/>
        </w:rPr>
        <w:t>个绿色矿业发展示范区。</w:t>
      </w:r>
    </w:p>
    <w:p w14:paraId="56EFD05C">
      <w:pPr>
        <w:ind w:firstLine="560"/>
        <w:rPr>
          <w:sz w:val="28"/>
          <w:szCs w:val="28"/>
        </w:rPr>
      </w:pPr>
      <w:r>
        <w:rPr>
          <w:rFonts w:hint="eastAsia"/>
          <w:sz w:val="28"/>
          <w:szCs w:val="28"/>
        </w:rPr>
        <w:t>（</w:t>
      </w:r>
      <w:r>
        <w:rPr>
          <w:sz w:val="28"/>
          <w:szCs w:val="28"/>
        </w:rPr>
        <w:t>3</w:t>
      </w:r>
      <w:r>
        <w:rPr>
          <w:rFonts w:hint="eastAsia"/>
          <w:sz w:val="28"/>
          <w:szCs w:val="28"/>
        </w:rPr>
        <w:t>）矿山环境保护与恢复治理</w:t>
      </w:r>
    </w:p>
    <w:p w14:paraId="5A35F589">
      <w:pPr>
        <w:ind w:firstLine="560"/>
        <w:jc w:val="left"/>
        <w:rPr>
          <w:sz w:val="28"/>
          <w:szCs w:val="28"/>
        </w:rPr>
      </w:pPr>
      <w:r>
        <w:rPr>
          <w:rFonts w:hint="eastAsia"/>
          <w:sz w:val="28"/>
          <w:szCs w:val="28"/>
        </w:rPr>
        <w:t>到</w:t>
      </w:r>
      <w:r>
        <w:rPr>
          <w:sz w:val="28"/>
          <w:szCs w:val="28"/>
        </w:rPr>
        <w:t>2020</w:t>
      </w:r>
      <w:r>
        <w:rPr>
          <w:rFonts w:hint="eastAsia"/>
          <w:sz w:val="28"/>
          <w:szCs w:val="28"/>
        </w:rPr>
        <w:t>年，让矿山开采导致地质环境受损或恶化的现象得到有效遏制；矿山建设与生产按照保护环境、节能减排与建设和谐矿区、绿色矿山的要求，执行环保“三同时”制度，矿山粉尘和爆破噪声得到有效控制，矿山污染物达标排放；矿山“三率”达标率</w:t>
      </w:r>
      <w:r>
        <w:rPr>
          <w:sz w:val="28"/>
          <w:szCs w:val="28"/>
        </w:rPr>
        <w:t>100%</w:t>
      </w:r>
      <w:r>
        <w:rPr>
          <w:rFonts w:hint="eastAsia"/>
          <w:sz w:val="28"/>
          <w:szCs w:val="28"/>
        </w:rPr>
        <w:t>；积极推进矿山治理与复绿工作，关停矿山的治理复绿后与周围环境协调一致，矿山环境保护取得明显成效。到</w:t>
      </w:r>
      <w:r>
        <w:rPr>
          <w:sz w:val="28"/>
          <w:szCs w:val="28"/>
        </w:rPr>
        <w:t>2020</w:t>
      </w:r>
      <w:r>
        <w:rPr>
          <w:rFonts w:hint="eastAsia"/>
          <w:sz w:val="28"/>
          <w:szCs w:val="28"/>
        </w:rPr>
        <w:t>年，矿山环境治理与复绿取得显著成效，达到砂石矿资源开采与生态环境和谐。</w:t>
      </w:r>
    </w:p>
    <w:p w14:paraId="7974AA3F">
      <w:pPr>
        <w:ind w:firstLine="0" w:firstLineChars="0"/>
        <w:jc w:val="left"/>
        <w:rPr>
          <w:b/>
          <w:sz w:val="28"/>
          <w:szCs w:val="28"/>
        </w:rPr>
      </w:pPr>
      <w:r>
        <w:rPr>
          <w:rFonts w:hint="eastAsia"/>
          <w:b/>
          <w:sz w:val="28"/>
          <w:szCs w:val="28"/>
        </w:rPr>
        <w:t>五、与上级规划及其它相关规划的衔接</w:t>
      </w:r>
    </w:p>
    <w:p w14:paraId="43576BF4">
      <w:pPr>
        <w:ind w:firstLine="562"/>
        <w:rPr>
          <w:b/>
          <w:sz w:val="28"/>
          <w:szCs w:val="28"/>
        </w:rPr>
      </w:pPr>
      <w:r>
        <w:rPr>
          <w:b/>
          <w:sz w:val="28"/>
          <w:szCs w:val="28"/>
        </w:rPr>
        <w:t>1</w:t>
      </w:r>
      <w:r>
        <w:rPr>
          <w:rFonts w:hint="eastAsia"/>
          <w:b/>
          <w:sz w:val="28"/>
          <w:szCs w:val="28"/>
        </w:rPr>
        <w:t>、与上级规划的衔接</w:t>
      </w:r>
    </w:p>
    <w:p w14:paraId="2A7B0A66">
      <w:pPr>
        <w:ind w:firstLine="570" w:firstLineChars="0"/>
      </w:pPr>
      <w:r>
        <w:rPr>
          <w:rFonts w:hint="eastAsia"/>
          <w:sz w:val="28"/>
          <w:szCs w:val="28"/>
        </w:rPr>
        <w:t>贵安新区直管区原属于贵阳市花溪区及安顺市平坝县的行政区域，根据收集花溪区及平坝县第二轮矿规的资料及实施情况，本《规划》编制，按照“下级矿产资源规划必须以上级矿产资源规划为依据”的要求，全面落实并认真做好与《贵州省矿产资源总体规划》的衔接。本《规划》在落实上级规划确定的目标、任务前提下，紧密结合贵安新区直管区实际，就诸如规划目标确定、矿产资源调查评价与勘查、矿产开发与保护、矿山生态环境保护等方面遵循的原则，矿产勘查和开采鼓励、限制、禁止、保护矿种的选择和规划区的确定与布局，以及总量调控、结构调整与优化诸多方面，都充分注重了与《贵州省矿产资源总体规划》的衔接和协调一致</w:t>
      </w:r>
      <w:r>
        <w:rPr>
          <w:rFonts w:hint="eastAsia"/>
        </w:rPr>
        <w:t>。</w:t>
      </w:r>
    </w:p>
    <w:p w14:paraId="2C5E2FD1">
      <w:pPr>
        <w:ind w:firstLine="562"/>
        <w:rPr>
          <w:b/>
          <w:sz w:val="28"/>
          <w:szCs w:val="28"/>
        </w:rPr>
      </w:pPr>
      <w:r>
        <w:rPr>
          <w:b/>
          <w:sz w:val="28"/>
          <w:szCs w:val="28"/>
        </w:rPr>
        <w:t>2</w:t>
      </w:r>
      <w:r>
        <w:rPr>
          <w:rFonts w:hint="eastAsia"/>
          <w:b/>
          <w:sz w:val="28"/>
          <w:szCs w:val="28"/>
        </w:rPr>
        <w:t>、与相关规划的衔接</w:t>
      </w:r>
    </w:p>
    <w:p w14:paraId="60FC36FC">
      <w:pPr>
        <w:ind w:firstLine="560"/>
        <w:rPr>
          <w:sz w:val="28"/>
          <w:szCs w:val="28"/>
        </w:rPr>
      </w:pPr>
      <w:r>
        <w:rPr>
          <w:rFonts w:hint="eastAsia"/>
          <w:sz w:val="28"/>
          <w:szCs w:val="28"/>
        </w:rPr>
        <w:t>本《规划》的编制，注重了与《贵安新区总体规划（</w:t>
      </w:r>
      <w:r>
        <w:rPr>
          <w:sz w:val="28"/>
          <w:szCs w:val="28"/>
        </w:rPr>
        <w:t>2013-2030</w:t>
      </w:r>
      <w:r>
        <w:rPr>
          <w:rFonts w:hint="eastAsia"/>
          <w:sz w:val="28"/>
          <w:szCs w:val="28"/>
        </w:rPr>
        <w:t>）》和各相关规划的衔接及协调统一。在规划编制中，紧密结合了贵安新区直管区经济与社会发展对矿产的需求进行，尤其对矿产的调查评价与勘查、开发利用与保护矿种的选择和勘查、开发布局等多方面，都紧密结合该计划纲要的部署要求，做到了认真的落实与衔接。</w:t>
      </w:r>
    </w:p>
    <w:p w14:paraId="4E15486F">
      <w:pPr>
        <w:ind w:firstLine="560"/>
        <w:rPr>
          <w:sz w:val="28"/>
          <w:szCs w:val="28"/>
        </w:rPr>
      </w:pPr>
      <w:r>
        <w:rPr>
          <w:rFonts w:hint="eastAsia"/>
          <w:sz w:val="28"/>
          <w:szCs w:val="28"/>
        </w:rPr>
        <w:t>在编制过程中，除多次与相关部门进行研究、征求意见外，还认真做好与矿产资源规划密切相关的旅游、建材、城建、环保等部门行业规划的衔接，基本做到了协调一致。同时也重视了与一些重要专题规划或研究的衔接与协调统一。</w:t>
      </w:r>
    </w:p>
    <w:p w14:paraId="72AA77B1">
      <w:pPr>
        <w:ind w:firstLine="0" w:firstLineChars="0"/>
        <w:jc w:val="left"/>
        <w:rPr>
          <w:b/>
          <w:sz w:val="28"/>
          <w:szCs w:val="28"/>
        </w:rPr>
      </w:pPr>
      <w:r>
        <w:rPr>
          <w:rFonts w:hint="eastAsia"/>
          <w:b/>
          <w:sz w:val="28"/>
          <w:szCs w:val="28"/>
        </w:rPr>
        <w:t>六、征求对规划的意见和贵安新区管委会的审核情况</w:t>
      </w:r>
    </w:p>
    <w:p w14:paraId="0F6997E4">
      <w:pPr>
        <w:ind w:firstLine="560"/>
        <w:rPr>
          <w:sz w:val="28"/>
          <w:szCs w:val="28"/>
        </w:rPr>
      </w:pPr>
      <w:r>
        <w:rPr>
          <w:rFonts w:hint="eastAsia"/>
          <w:sz w:val="28"/>
          <w:szCs w:val="28"/>
        </w:rPr>
        <w:t>本《规划》是在广泛收集资料，深入调研，征求各部门、各主要矿山企业意见的基础上，经过认真综合分析研究与反复讨论，按照贵州省国土资源厅的有关规定要求进行编制完成的。为了使编制的规划更加科学合理，符合实际，利于实施，实现开门编规划的要求，在</w:t>
      </w:r>
      <w:r>
        <w:rPr>
          <w:sz w:val="28"/>
          <w:szCs w:val="28"/>
        </w:rPr>
        <w:t>2017</w:t>
      </w:r>
      <w:r>
        <w:rPr>
          <w:rFonts w:hint="eastAsia"/>
          <w:sz w:val="28"/>
          <w:szCs w:val="28"/>
        </w:rPr>
        <w:t>年</w:t>
      </w:r>
      <w:r>
        <w:rPr>
          <w:sz w:val="28"/>
          <w:szCs w:val="28"/>
        </w:rPr>
        <w:t>7</w:t>
      </w:r>
      <w:r>
        <w:rPr>
          <w:rFonts w:hint="eastAsia"/>
          <w:sz w:val="28"/>
          <w:szCs w:val="28"/>
        </w:rPr>
        <w:t>月编制完成。《规划》征求意见稿后，即将其发至各主管局及各乡镇，请组织对《规划》进行研究讨论，提出意见；</w:t>
      </w:r>
      <w:r>
        <w:rPr>
          <w:sz w:val="28"/>
          <w:szCs w:val="28"/>
        </w:rPr>
        <w:t>2017</w:t>
      </w:r>
      <w:r>
        <w:rPr>
          <w:rFonts w:hint="eastAsia"/>
          <w:sz w:val="28"/>
          <w:szCs w:val="28"/>
        </w:rPr>
        <w:t>年</w:t>
      </w:r>
      <w:r>
        <w:rPr>
          <w:sz w:val="28"/>
          <w:szCs w:val="28"/>
        </w:rPr>
        <w:t>7</w:t>
      </w:r>
      <w:r>
        <w:rPr>
          <w:rFonts w:hint="eastAsia"/>
          <w:sz w:val="28"/>
          <w:szCs w:val="28"/>
        </w:rPr>
        <w:t>月贵安新区国土资源局，组织召开了部分主管局及直管区各乡镇负责人参加的《规划》征求意见会，进一步征求各方面对《规划》的意见。部分参会代表正式提交了对《规划》的书面意见材料，对《规划》进行了总体评价或提出了修改建议。从所有的反馈意见看，总的都予以了肯定，同意或原则同意编制完成的《贵州省贵安新区直管区矿产资源总体规划》。在充分肯定编制完成的《规划》的同时，也从各自的不同角度提出了修改意见或建议。主要有：建议细化规划目标及内容；矿山环境保护与治理恢复的保护措施、治理年限及后期达到的效果不够明确；建议对区内规划增加简要的环境影响评价等内容；建议增加黔中水利一期工程集中式饮用水源保护区等，此外对文本与附表的少数提法或错漏之处，提出修改完善的建议等。</w:t>
      </w:r>
    </w:p>
    <w:p w14:paraId="49085B23">
      <w:pPr>
        <w:ind w:firstLine="560"/>
        <w:rPr>
          <w:sz w:val="28"/>
          <w:szCs w:val="28"/>
        </w:rPr>
      </w:pPr>
      <w:r>
        <w:rPr>
          <w:rFonts w:hint="eastAsia"/>
          <w:sz w:val="28"/>
          <w:szCs w:val="28"/>
        </w:rPr>
        <w:t>对各方面提出的意见或建议，进行了系统的整理和认真研究，对《规划》成果文、图、表作了全面逐一的修改、补充与完善。通过广泛的征求意见和认真的修改完善，按要求形成了预审稿。</w:t>
      </w:r>
    </w:p>
    <w:p w14:paraId="10584C19">
      <w:pPr>
        <w:ind w:firstLine="0" w:firstLineChars="0"/>
        <w:jc w:val="left"/>
        <w:rPr>
          <w:b/>
          <w:sz w:val="28"/>
          <w:szCs w:val="28"/>
        </w:rPr>
      </w:pPr>
      <w:r>
        <w:rPr>
          <w:rFonts w:hint="eastAsia"/>
          <w:b/>
          <w:sz w:val="28"/>
          <w:szCs w:val="28"/>
        </w:rPr>
        <w:t>七、其它问题说明</w:t>
      </w:r>
    </w:p>
    <w:p w14:paraId="5207126B">
      <w:pPr>
        <w:ind w:firstLine="560"/>
        <w:rPr>
          <w:sz w:val="28"/>
          <w:szCs w:val="28"/>
        </w:rPr>
      </w:pPr>
      <w:bookmarkStart w:id="33" w:name="_Toc155845365"/>
      <w:bookmarkStart w:id="34" w:name="_Toc155845105"/>
      <w:bookmarkStart w:id="35" w:name="_Toc248413208"/>
      <w:bookmarkStart w:id="36" w:name="_Toc246156851"/>
      <w:bookmarkStart w:id="37" w:name="_Toc155844647"/>
      <w:bookmarkStart w:id="38" w:name="_Toc248413143"/>
      <w:r>
        <w:rPr>
          <w:rFonts w:hint="eastAsia"/>
          <w:sz w:val="28"/>
          <w:szCs w:val="28"/>
        </w:rPr>
        <w:t>《贵州省贵安新区直管区矿产资源总体规划》附图、附表中反映的勘查与开发规划分区（含新建矿山）的范围与面积，因受比例尺及相关附表内容的限制，其反映受到了一定的影响和局限，因此在使用时，尤其是在招标、拍卖、挂牌授予探矿权、采矿权时，对其具体范围应以相应的更大比例尺所圈定的范围与面积作依据，同时国土资源局主管部门应前往现场，详细具体划定矿业权的范围各面积。另由于此规划编过程中各乡镇的小城镇建设规划及规划用地范围多未出台，因此其禁止勘查范围及禁采范围仅在文本上提及未在图表上反映，在小城镇建设规划范围内勘查及采矿时应认真和对接其规划。</w:t>
      </w:r>
      <w:bookmarkEnd w:id="33"/>
      <w:bookmarkEnd w:id="34"/>
      <w:bookmarkEnd w:id="35"/>
      <w:bookmarkEnd w:id="36"/>
      <w:bookmarkEnd w:id="37"/>
      <w:bookmarkEnd w:id="38"/>
    </w:p>
    <w:p w14:paraId="3982CE21">
      <w:pPr>
        <w:ind w:firstLine="0" w:firstLineChars="0"/>
        <w:jc w:val="left"/>
        <w:rPr>
          <w:b/>
          <w:sz w:val="28"/>
          <w:szCs w:val="28"/>
        </w:rPr>
      </w:pPr>
      <w:r>
        <w:rPr>
          <w:rFonts w:hint="eastAsia"/>
          <w:b/>
          <w:sz w:val="28"/>
          <w:szCs w:val="28"/>
        </w:rPr>
        <w:t>八、规划编制的人员组成情况</w:t>
      </w:r>
    </w:p>
    <w:p w14:paraId="3011125B">
      <w:pPr>
        <w:ind w:firstLine="560"/>
        <w:jc w:val="left"/>
        <w:rPr>
          <w:sz w:val="28"/>
          <w:szCs w:val="28"/>
        </w:rPr>
      </w:pPr>
      <w:r>
        <w:rPr>
          <w:rFonts w:hint="eastAsia"/>
          <w:sz w:val="28"/>
          <w:szCs w:val="28"/>
        </w:rPr>
        <w:t>《贵州省贵安新区直管区矿产资源总体规划》（</w:t>
      </w:r>
      <w:r>
        <w:rPr>
          <w:sz w:val="28"/>
          <w:szCs w:val="28"/>
        </w:rPr>
        <w:t>2016-2020</w:t>
      </w:r>
      <w:r>
        <w:rPr>
          <w:rFonts w:hint="eastAsia"/>
          <w:sz w:val="28"/>
          <w:szCs w:val="28"/>
        </w:rPr>
        <w:t>）编制工作领导小组成员：</w:t>
      </w:r>
    </w:p>
    <w:p w14:paraId="198742E1">
      <w:pPr>
        <w:ind w:firstLine="0" w:firstLineChars="0"/>
        <w:jc w:val="left"/>
        <w:rPr>
          <w:sz w:val="28"/>
          <w:szCs w:val="28"/>
        </w:rPr>
      </w:pPr>
      <w:r>
        <w:rPr>
          <w:rFonts w:hint="eastAsia"/>
          <w:sz w:val="28"/>
          <w:szCs w:val="28"/>
        </w:rPr>
        <w:t>组长：孙登峰（贵安新区党工委副书记、管委会主任）</w:t>
      </w:r>
    </w:p>
    <w:p w14:paraId="2A332396">
      <w:pPr>
        <w:ind w:firstLine="0" w:firstLineChars="0"/>
        <w:jc w:val="left"/>
        <w:rPr>
          <w:sz w:val="28"/>
          <w:szCs w:val="28"/>
        </w:rPr>
      </w:pPr>
      <w:r>
        <w:rPr>
          <w:rFonts w:hint="eastAsia"/>
          <w:sz w:val="28"/>
          <w:szCs w:val="28"/>
        </w:rPr>
        <w:t>副组长：邓波（贵安新区管委会副主任）</w:t>
      </w:r>
    </w:p>
    <w:p w14:paraId="439D6124">
      <w:pPr>
        <w:ind w:firstLine="0" w:firstLineChars="0"/>
        <w:jc w:val="left"/>
        <w:rPr>
          <w:sz w:val="28"/>
          <w:szCs w:val="28"/>
        </w:rPr>
      </w:pPr>
      <w:r>
        <w:rPr>
          <w:rFonts w:hint="eastAsia"/>
          <w:sz w:val="28"/>
          <w:szCs w:val="28"/>
        </w:rPr>
        <w:t>成员：陈东（管委会党组成员、办公室主任）</w:t>
      </w:r>
    </w:p>
    <w:p w14:paraId="11F70CD4">
      <w:pPr>
        <w:ind w:firstLine="1120" w:firstLineChars="400"/>
        <w:jc w:val="left"/>
        <w:rPr>
          <w:sz w:val="28"/>
          <w:szCs w:val="28"/>
        </w:rPr>
      </w:pPr>
      <w:r>
        <w:rPr>
          <w:rFonts w:hint="eastAsia"/>
          <w:sz w:val="28"/>
          <w:szCs w:val="28"/>
        </w:rPr>
        <w:t>李全绥（国土资源局局长）</w:t>
      </w:r>
    </w:p>
    <w:p w14:paraId="7D0003DB">
      <w:pPr>
        <w:ind w:firstLine="1120" w:firstLineChars="400"/>
        <w:jc w:val="left"/>
        <w:rPr>
          <w:sz w:val="28"/>
          <w:szCs w:val="28"/>
        </w:rPr>
      </w:pPr>
      <w:r>
        <w:rPr>
          <w:rFonts w:hint="eastAsia"/>
          <w:sz w:val="28"/>
          <w:szCs w:val="28"/>
        </w:rPr>
        <w:t>沈倜（经济发展局局长）</w:t>
      </w:r>
    </w:p>
    <w:p w14:paraId="23E60AFE">
      <w:pPr>
        <w:ind w:firstLine="1120" w:firstLineChars="400"/>
        <w:jc w:val="left"/>
        <w:rPr>
          <w:sz w:val="28"/>
          <w:szCs w:val="28"/>
        </w:rPr>
      </w:pPr>
      <w:r>
        <w:rPr>
          <w:rFonts w:hint="eastAsia"/>
          <w:sz w:val="28"/>
          <w:szCs w:val="28"/>
        </w:rPr>
        <w:t>翁敬（环境保护局局长）</w:t>
      </w:r>
    </w:p>
    <w:p w14:paraId="5C6EACC0">
      <w:pPr>
        <w:ind w:firstLine="1120" w:firstLineChars="400"/>
        <w:jc w:val="left"/>
        <w:rPr>
          <w:sz w:val="28"/>
          <w:szCs w:val="28"/>
        </w:rPr>
      </w:pPr>
      <w:r>
        <w:rPr>
          <w:rFonts w:hint="eastAsia"/>
          <w:sz w:val="28"/>
          <w:szCs w:val="28"/>
        </w:rPr>
        <w:t>杨祖敏（安全生产监督管理局局长）</w:t>
      </w:r>
    </w:p>
    <w:p w14:paraId="5EAC8031">
      <w:pPr>
        <w:ind w:firstLine="1120" w:firstLineChars="400"/>
        <w:jc w:val="left"/>
        <w:rPr>
          <w:sz w:val="28"/>
          <w:szCs w:val="28"/>
        </w:rPr>
      </w:pPr>
      <w:r>
        <w:rPr>
          <w:rFonts w:hint="eastAsia"/>
          <w:sz w:val="28"/>
          <w:szCs w:val="28"/>
        </w:rPr>
        <w:t>郭波美（规划建设局局长）</w:t>
      </w:r>
    </w:p>
    <w:p w14:paraId="7D032317">
      <w:pPr>
        <w:ind w:firstLine="1120" w:firstLineChars="400"/>
        <w:jc w:val="left"/>
        <w:rPr>
          <w:sz w:val="28"/>
          <w:szCs w:val="28"/>
        </w:rPr>
      </w:pPr>
      <w:r>
        <w:rPr>
          <w:rFonts w:hint="eastAsia"/>
          <w:sz w:val="28"/>
          <w:szCs w:val="28"/>
        </w:rPr>
        <w:t>黄辉（农林水务局局长）</w:t>
      </w:r>
    </w:p>
    <w:p w14:paraId="12FA5ED4">
      <w:pPr>
        <w:ind w:firstLine="1120" w:firstLineChars="400"/>
        <w:jc w:val="left"/>
        <w:rPr>
          <w:sz w:val="28"/>
          <w:szCs w:val="28"/>
        </w:rPr>
      </w:pPr>
      <w:r>
        <w:rPr>
          <w:rFonts w:hint="eastAsia"/>
          <w:sz w:val="28"/>
          <w:szCs w:val="28"/>
        </w:rPr>
        <w:t>王雪竹（旅文中心主任）</w:t>
      </w:r>
    </w:p>
    <w:p w14:paraId="2EB57C3E">
      <w:pPr>
        <w:ind w:firstLine="560"/>
        <w:jc w:val="left"/>
        <w:rPr>
          <w:sz w:val="28"/>
          <w:szCs w:val="28"/>
        </w:rPr>
      </w:pPr>
      <w:r>
        <w:rPr>
          <w:rFonts w:hint="eastAsia"/>
          <w:sz w:val="28"/>
          <w:szCs w:val="28"/>
        </w:rPr>
        <w:t>《贵州省贵安新区直管区矿产资源总体规划》（</w:t>
      </w:r>
      <w:r>
        <w:rPr>
          <w:sz w:val="28"/>
          <w:szCs w:val="28"/>
        </w:rPr>
        <w:t>2016-2020</w:t>
      </w:r>
      <w:r>
        <w:rPr>
          <w:rFonts w:hint="eastAsia"/>
          <w:sz w:val="28"/>
          <w:szCs w:val="28"/>
        </w:rPr>
        <w:t>）编制工作专家小组成员：</w:t>
      </w:r>
    </w:p>
    <w:p w14:paraId="0388F0EB">
      <w:pPr>
        <w:ind w:firstLine="560"/>
        <w:jc w:val="left"/>
        <w:rPr>
          <w:sz w:val="28"/>
          <w:szCs w:val="28"/>
        </w:rPr>
      </w:pPr>
      <w:r>
        <w:rPr>
          <w:rFonts w:hint="eastAsia"/>
          <w:sz w:val="28"/>
          <w:szCs w:val="28"/>
        </w:rPr>
        <w:t>陈兴龙（贵州省有色金属和核工业地质勘查局研究员）</w:t>
      </w:r>
    </w:p>
    <w:p w14:paraId="1332C399">
      <w:pPr>
        <w:ind w:firstLine="560"/>
        <w:jc w:val="left"/>
        <w:rPr>
          <w:sz w:val="28"/>
          <w:szCs w:val="28"/>
        </w:rPr>
      </w:pPr>
      <w:r>
        <w:rPr>
          <w:rFonts w:hint="eastAsia"/>
          <w:sz w:val="28"/>
          <w:szCs w:val="28"/>
        </w:rPr>
        <w:t>曾道国（贵州省有色金属和核工业地质勘查局高级工程师）</w:t>
      </w:r>
    </w:p>
    <w:p w14:paraId="5288DBF5">
      <w:pPr>
        <w:ind w:firstLine="560"/>
        <w:jc w:val="left"/>
        <w:rPr>
          <w:sz w:val="28"/>
          <w:szCs w:val="28"/>
        </w:rPr>
      </w:pPr>
      <w:r>
        <w:rPr>
          <w:rFonts w:hint="eastAsia"/>
          <w:sz w:val="28"/>
          <w:szCs w:val="28"/>
        </w:rPr>
        <w:t>张成忠（贵州省有色金属和核工业地质勘查局高级工程师）</w:t>
      </w:r>
    </w:p>
    <w:p w14:paraId="172040F6">
      <w:pPr>
        <w:ind w:firstLine="560"/>
        <w:jc w:val="left"/>
        <w:rPr>
          <w:sz w:val="28"/>
          <w:szCs w:val="28"/>
        </w:rPr>
      </w:pPr>
      <w:r>
        <w:rPr>
          <w:rFonts w:hint="eastAsia"/>
          <w:sz w:val="28"/>
          <w:szCs w:val="28"/>
        </w:rPr>
        <w:t>李全绥（国土资源局局长）</w:t>
      </w:r>
    </w:p>
    <w:p w14:paraId="232C1373">
      <w:pPr>
        <w:ind w:firstLine="560"/>
        <w:jc w:val="left"/>
        <w:rPr>
          <w:sz w:val="28"/>
          <w:szCs w:val="28"/>
        </w:rPr>
      </w:pPr>
      <w:r>
        <w:rPr>
          <w:rFonts w:hint="eastAsia"/>
          <w:sz w:val="28"/>
          <w:szCs w:val="28"/>
        </w:rPr>
        <w:t>沈倜（经济发展局局长）</w:t>
      </w:r>
    </w:p>
    <w:p w14:paraId="58404337">
      <w:pPr>
        <w:ind w:firstLine="560"/>
        <w:jc w:val="left"/>
        <w:rPr>
          <w:sz w:val="28"/>
          <w:szCs w:val="28"/>
        </w:rPr>
      </w:pPr>
      <w:r>
        <w:rPr>
          <w:rFonts w:hint="eastAsia"/>
          <w:sz w:val="28"/>
          <w:szCs w:val="28"/>
        </w:rPr>
        <w:t>翁敬（环境保护局局长）</w:t>
      </w:r>
    </w:p>
    <w:p w14:paraId="3E62E88F">
      <w:pPr>
        <w:ind w:firstLine="560"/>
        <w:jc w:val="left"/>
        <w:rPr>
          <w:sz w:val="28"/>
          <w:szCs w:val="28"/>
        </w:rPr>
      </w:pPr>
      <w:r>
        <w:rPr>
          <w:rFonts w:hint="eastAsia"/>
          <w:sz w:val="28"/>
          <w:szCs w:val="28"/>
        </w:rPr>
        <w:t>杨祖敏（安全生产监督管理局局长）</w:t>
      </w:r>
    </w:p>
    <w:p w14:paraId="6CEA8795">
      <w:pPr>
        <w:ind w:firstLine="560"/>
        <w:jc w:val="left"/>
        <w:rPr>
          <w:sz w:val="28"/>
          <w:szCs w:val="28"/>
        </w:rPr>
      </w:pPr>
      <w:r>
        <w:rPr>
          <w:rFonts w:hint="eastAsia"/>
          <w:sz w:val="28"/>
          <w:szCs w:val="28"/>
        </w:rPr>
        <w:t>郭波美（规划建设局局长）</w:t>
      </w:r>
    </w:p>
    <w:p w14:paraId="751FE4CE">
      <w:pPr>
        <w:ind w:firstLine="560"/>
        <w:jc w:val="left"/>
        <w:rPr>
          <w:sz w:val="28"/>
          <w:szCs w:val="28"/>
        </w:rPr>
      </w:pPr>
      <w:r>
        <w:rPr>
          <w:rFonts w:hint="eastAsia"/>
          <w:sz w:val="28"/>
          <w:szCs w:val="28"/>
        </w:rPr>
        <w:t>黄辉（农林水务局局长）</w:t>
      </w:r>
    </w:p>
    <w:p w14:paraId="1E1158EA">
      <w:pPr>
        <w:ind w:firstLine="560"/>
        <w:jc w:val="left"/>
        <w:rPr>
          <w:color w:val="FF0000"/>
          <w:sz w:val="28"/>
          <w:szCs w:val="28"/>
        </w:rPr>
      </w:pPr>
      <w:r>
        <w:rPr>
          <w:rFonts w:hint="eastAsia"/>
          <w:sz w:val="28"/>
          <w:szCs w:val="28"/>
        </w:rPr>
        <w:t>王雪竹（旅文中心主任）</w:t>
      </w:r>
    </w:p>
    <w:p w14:paraId="30E4153E">
      <w:pPr>
        <w:ind w:firstLine="560"/>
        <w:jc w:val="left"/>
        <w:rPr>
          <w:sz w:val="28"/>
          <w:szCs w:val="28"/>
        </w:rPr>
      </w:pPr>
      <w:r>
        <w:rPr>
          <w:rFonts w:hint="eastAsia"/>
          <w:sz w:val="28"/>
          <w:szCs w:val="28"/>
        </w:rPr>
        <w:t>《贵州省贵安新区直管区矿产资源总体规划》（</w:t>
      </w:r>
      <w:r>
        <w:rPr>
          <w:sz w:val="28"/>
          <w:szCs w:val="28"/>
        </w:rPr>
        <w:t>2016-2020</w:t>
      </w:r>
      <w:r>
        <w:rPr>
          <w:rFonts w:hint="eastAsia"/>
          <w:sz w:val="28"/>
          <w:szCs w:val="28"/>
        </w:rPr>
        <w:t>）编制工作编写小组成员：</w:t>
      </w:r>
    </w:p>
    <w:p w14:paraId="48D00B1E">
      <w:pPr>
        <w:ind w:firstLine="560"/>
        <w:jc w:val="left"/>
        <w:rPr>
          <w:sz w:val="28"/>
          <w:szCs w:val="28"/>
        </w:rPr>
      </w:pPr>
      <w:r>
        <w:rPr>
          <w:rFonts w:hint="eastAsia"/>
          <w:sz w:val="28"/>
          <w:szCs w:val="28"/>
        </w:rPr>
        <w:t>何思余（新区国土资源局）</w:t>
      </w:r>
    </w:p>
    <w:p w14:paraId="0A67555C">
      <w:pPr>
        <w:ind w:firstLine="560"/>
        <w:jc w:val="left"/>
        <w:rPr>
          <w:sz w:val="28"/>
          <w:szCs w:val="28"/>
        </w:rPr>
      </w:pPr>
      <w:r>
        <w:rPr>
          <w:rFonts w:hint="eastAsia"/>
          <w:sz w:val="28"/>
          <w:szCs w:val="28"/>
        </w:rPr>
        <w:t>周标（新区国土资源局）</w:t>
      </w:r>
    </w:p>
    <w:p w14:paraId="03707FCB">
      <w:pPr>
        <w:ind w:firstLine="560"/>
        <w:jc w:val="left"/>
        <w:rPr>
          <w:sz w:val="28"/>
          <w:szCs w:val="28"/>
        </w:rPr>
      </w:pPr>
      <w:r>
        <w:rPr>
          <w:rFonts w:hint="eastAsia"/>
          <w:sz w:val="28"/>
          <w:szCs w:val="28"/>
        </w:rPr>
        <w:t>高福兴（贵州有色地质工程勘察公司）</w:t>
      </w:r>
    </w:p>
    <w:p w14:paraId="68CEB140">
      <w:pPr>
        <w:ind w:firstLine="560"/>
        <w:jc w:val="left"/>
        <w:rPr>
          <w:sz w:val="28"/>
          <w:szCs w:val="28"/>
        </w:rPr>
      </w:pPr>
      <w:r>
        <w:rPr>
          <w:rFonts w:hint="eastAsia"/>
          <w:sz w:val="28"/>
          <w:szCs w:val="28"/>
        </w:rPr>
        <w:t>杜江（贵州有色地质工程勘察公司）</w:t>
      </w:r>
    </w:p>
    <w:p w14:paraId="5C0ACCBB">
      <w:pPr>
        <w:ind w:firstLine="560"/>
        <w:jc w:val="left"/>
      </w:pPr>
      <w:r>
        <w:rPr>
          <w:rFonts w:hint="eastAsia"/>
          <w:sz w:val="28"/>
          <w:szCs w:val="28"/>
        </w:rPr>
        <w:t>李洪珍（贵州有色地质工程勘察公司）</w:t>
      </w:r>
    </w:p>
    <w:sectPr>
      <w:footerReference r:id="rId11"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4F7B6">
    <w:pPr>
      <w:pStyle w:val="9"/>
      <w:ind w:firstLine="360"/>
      <w:jc w:val="center"/>
    </w:pPr>
  </w:p>
  <w:p w14:paraId="375B125A">
    <w:pPr>
      <w:pStyle w:val="9"/>
      <w:ind w:firstLine="361"/>
      <w:rPr>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ACB51">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C2B19">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ED360">
    <w:pPr>
      <w:pStyle w:val="9"/>
      <w:ind w:firstLine="360"/>
      <w:jc w:val="center"/>
    </w:pPr>
    <w:r>
      <w:fldChar w:fldCharType="begin"/>
    </w:r>
    <w:r>
      <w:instrText xml:space="preserve">PAGE   \* MERGEFORMAT</w:instrText>
    </w:r>
    <w:r>
      <w:fldChar w:fldCharType="separate"/>
    </w:r>
    <w:r>
      <w:rPr>
        <w:lang w:val="zh-CN"/>
      </w:rPr>
      <w:t>27</w:t>
    </w:r>
    <w:r>
      <w:rPr>
        <w:lang w:val="zh-CN"/>
      </w:rPr>
      <w:fldChar w:fldCharType="end"/>
    </w:r>
  </w:p>
  <w:p w14:paraId="2B2E3BAA">
    <w:pPr>
      <w:pStyle w:val="9"/>
      <w:ind w:firstLine="361"/>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85B56">
    <w:pPr>
      <w:pStyle w:val="10"/>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1AA0C">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7B6A6">
    <w:pPr>
      <w:pStyle w:val="1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5B70"/>
    <w:rsid w:val="00001D91"/>
    <w:rsid w:val="00004222"/>
    <w:rsid w:val="00006A5D"/>
    <w:rsid w:val="00013E4F"/>
    <w:rsid w:val="00014BC6"/>
    <w:rsid w:val="00017367"/>
    <w:rsid w:val="00033A79"/>
    <w:rsid w:val="00034C2F"/>
    <w:rsid w:val="000455E6"/>
    <w:rsid w:val="00051E43"/>
    <w:rsid w:val="00054CEA"/>
    <w:rsid w:val="00054E16"/>
    <w:rsid w:val="00072B48"/>
    <w:rsid w:val="00074FE0"/>
    <w:rsid w:val="000900B8"/>
    <w:rsid w:val="00092733"/>
    <w:rsid w:val="00096323"/>
    <w:rsid w:val="000B511A"/>
    <w:rsid w:val="000C158B"/>
    <w:rsid w:val="000C2740"/>
    <w:rsid w:val="000D266E"/>
    <w:rsid w:val="000D3F82"/>
    <w:rsid w:val="000E2E26"/>
    <w:rsid w:val="000E5DEB"/>
    <w:rsid w:val="000E65A4"/>
    <w:rsid w:val="000F2111"/>
    <w:rsid w:val="000F4F40"/>
    <w:rsid w:val="000F64CB"/>
    <w:rsid w:val="00112739"/>
    <w:rsid w:val="00116FBF"/>
    <w:rsid w:val="00121A78"/>
    <w:rsid w:val="0012605F"/>
    <w:rsid w:val="00127562"/>
    <w:rsid w:val="0013355D"/>
    <w:rsid w:val="00134829"/>
    <w:rsid w:val="00136AAF"/>
    <w:rsid w:val="00137883"/>
    <w:rsid w:val="001420AE"/>
    <w:rsid w:val="00143E7D"/>
    <w:rsid w:val="00145C07"/>
    <w:rsid w:val="00150BBA"/>
    <w:rsid w:val="00160302"/>
    <w:rsid w:val="00165E4B"/>
    <w:rsid w:val="0016726A"/>
    <w:rsid w:val="00167C71"/>
    <w:rsid w:val="001915AD"/>
    <w:rsid w:val="001A188A"/>
    <w:rsid w:val="001A4165"/>
    <w:rsid w:val="001B6EFD"/>
    <w:rsid w:val="001B7108"/>
    <w:rsid w:val="001D2518"/>
    <w:rsid w:val="001D47BE"/>
    <w:rsid w:val="001F2888"/>
    <w:rsid w:val="00201969"/>
    <w:rsid w:val="00205DA4"/>
    <w:rsid w:val="00220A1B"/>
    <w:rsid w:val="00223D17"/>
    <w:rsid w:val="002308E4"/>
    <w:rsid w:val="00237F11"/>
    <w:rsid w:val="00240BEE"/>
    <w:rsid w:val="00243688"/>
    <w:rsid w:val="002508E7"/>
    <w:rsid w:val="00256358"/>
    <w:rsid w:val="00263EF6"/>
    <w:rsid w:val="0027252E"/>
    <w:rsid w:val="0029049A"/>
    <w:rsid w:val="00292CCB"/>
    <w:rsid w:val="0029729E"/>
    <w:rsid w:val="002A047B"/>
    <w:rsid w:val="002A08A0"/>
    <w:rsid w:val="002A1F12"/>
    <w:rsid w:val="002B7546"/>
    <w:rsid w:val="002C3AE9"/>
    <w:rsid w:val="002C3DB9"/>
    <w:rsid w:val="002D48CA"/>
    <w:rsid w:val="002D5398"/>
    <w:rsid w:val="002D6132"/>
    <w:rsid w:val="002E2700"/>
    <w:rsid w:val="00300853"/>
    <w:rsid w:val="00301E8C"/>
    <w:rsid w:val="003077D2"/>
    <w:rsid w:val="00311C14"/>
    <w:rsid w:val="0031249E"/>
    <w:rsid w:val="003228C6"/>
    <w:rsid w:val="00327180"/>
    <w:rsid w:val="003275DF"/>
    <w:rsid w:val="0033399B"/>
    <w:rsid w:val="003525A7"/>
    <w:rsid w:val="00352CC2"/>
    <w:rsid w:val="00353110"/>
    <w:rsid w:val="00356FE1"/>
    <w:rsid w:val="00360DCC"/>
    <w:rsid w:val="00361D1C"/>
    <w:rsid w:val="0036601E"/>
    <w:rsid w:val="00370E72"/>
    <w:rsid w:val="0037205E"/>
    <w:rsid w:val="0037214D"/>
    <w:rsid w:val="00372CCB"/>
    <w:rsid w:val="00377FDD"/>
    <w:rsid w:val="003816B2"/>
    <w:rsid w:val="003874FB"/>
    <w:rsid w:val="003A03C4"/>
    <w:rsid w:val="003A05F5"/>
    <w:rsid w:val="003A2F97"/>
    <w:rsid w:val="003A302F"/>
    <w:rsid w:val="003B45D7"/>
    <w:rsid w:val="003C2673"/>
    <w:rsid w:val="003C512E"/>
    <w:rsid w:val="003C6731"/>
    <w:rsid w:val="003C719C"/>
    <w:rsid w:val="003D260A"/>
    <w:rsid w:val="003D791A"/>
    <w:rsid w:val="003E06D3"/>
    <w:rsid w:val="003F18B0"/>
    <w:rsid w:val="004114F4"/>
    <w:rsid w:val="004135D8"/>
    <w:rsid w:val="00417E3D"/>
    <w:rsid w:val="00423812"/>
    <w:rsid w:val="00426A00"/>
    <w:rsid w:val="00426B9D"/>
    <w:rsid w:val="00427E1E"/>
    <w:rsid w:val="00437AB7"/>
    <w:rsid w:val="00437CF2"/>
    <w:rsid w:val="00444288"/>
    <w:rsid w:val="004527E2"/>
    <w:rsid w:val="00452F9F"/>
    <w:rsid w:val="00460E3A"/>
    <w:rsid w:val="00461289"/>
    <w:rsid w:val="00467CF7"/>
    <w:rsid w:val="004827F1"/>
    <w:rsid w:val="004A3FE1"/>
    <w:rsid w:val="004A698B"/>
    <w:rsid w:val="004B1A41"/>
    <w:rsid w:val="004B4752"/>
    <w:rsid w:val="004B47D2"/>
    <w:rsid w:val="004B7C3D"/>
    <w:rsid w:val="004C6729"/>
    <w:rsid w:val="004D0C19"/>
    <w:rsid w:val="004D14F9"/>
    <w:rsid w:val="004D1E3E"/>
    <w:rsid w:val="004D3C99"/>
    <w:rsid w:val="004D3FA3"/>
    <w:rsid w:val="004E5DE4"/>
    <w:rsid w:val="004F3FA5"/>
    <w:rsid w:val="005039C3"/>
    <w:rsid w:val="00504286"/>
    <w:rsid w:val="005136E1"/>
    <w:rsid w:val="00514768"/>
    <w:rsid w:val="00514DF0"/>
    <w:rsid w:val="0051797D"/>
    <w:rsid w:val="00520D56"/>
    <w:rsid w:val="0053082E"/>
    <w:rsid w:val="00533B12"/>
    <w:rsid w:val="0053543C"/>
    <w:rsid w:val="00535C5E"/>
    <w:rsid w:val="005405D0"/>
    <w:rsid w:val="00542FB2"/>
    <w:rsid w:val="0054313F"/>
    <w:rsid w:val="0054574F"/>
    <w:rsid w:val="00545937"/>
    <w:rsid w:val="00547784"/>
    <w:rsid w:val="005543F5"/>
    <w:rsid w:val="005778F4"/>
    <w:rsid w:val="00581476"/>
    <w:rsid w:val="00581E28"/>
    <w:rsid w:val="00591569"/>
    <w:rsid w:val="005A34BA"/>
    <w:rsid w:val="005A70D9"/>
    <w:rsid w:val="005B3D6C"/>
    <w:rsid w:val="005C3F0E"/>
    <w:rsid w:val="005C67CB"/>
    <w:rsid w:val="005D3BB5"/>
    <w:rsid w:val="005D4BB5"/>
    <w:rsid w:val="005D6601"/>
    <w:rsid w:val="005E4F00"/>
    <w:rsid w:val="005F2137"/>
    <w:rsid w:val="005F288B"/>
    <w:rsid w:val="005F3328"/>
    <w:rsid w:val="005F34F9"/>
    <w:rsid w:val="005F3B21"/>
    <w:rsid w:val="006001C5"/>
    <w:rsid w:val="00605FFD"/>
    <w:rsid w:val="00610E5D"/>
    <w:rsid w:val="006134FC"/>
    <w:rsid w:val="006217FC"/>
    <w:rsid w:val="00630EE3"/>
    <w:rsid w:val="00634392"/>
    <w:rsid w:val="00637748"/>
    <w:rsid w:val="0064064E"/>
    <w:rsid w:val="00643DB7"/>
    <w:rsid w:val="006469F9"/>
    <w:rsid w:val="006734FA"/>
    <w:rsid w:val="00675900"/>
    <w:rsid w:val="00677A55"/>
    <w:rsid w:val="0068677C"/>
    <w:rsid w:val="00690FB6"/>
    <w:rsid w:val="0069197B"/>
    <w:rsid w:val="006958FD"/>
    <w:rsid w:val="00697109"/>
    <w:rsid w:val="006A3639"/>
    <w:rsid w:val="006B5D51"/>
    <w:rsid w:val="006C2012"/>
    <w:rsid w:val="006C548E"/>
    <w:rsid w:val="006C6B45"/>
    <w:rsid w:val="006C7678"/>
    <w:rsid w:val="006D0F77"/>
    <w:rsid w:val="006F7D83"/>
    <w:rsid w:val="0070569C"/>
    <w:rsid w:val="0071066B"/>
    <w:rsid w:val="00721C7D"/>
    <w:rsid w:val="00722763"/>
    <w:rsid w:val="00726589"/>
    <w:rsid w:val="00727736"/>
    <w:rsid w:val="00733FFE"/>
    <w:rsid w:val="0073742F"/>
    <w:rsid w:val="00737F13"/>
    <w:rsid w:val="00740E17"/>
    <w:rsid w:val="00745021"/>
    <w:rsid w:val="00750A11"/>
    <w:rsid w:val="00770670"/>
    <w:rsid w:val="007838AE"/>
    <w:rsid w:val="007B6DCB"/>
    <w:rsid w:val="007C45A2"/>
    <w:rsid w:val="007C4C4F"/>
    <w:rsid w:val="007E7E06"/>
    <w:rsid w:val="0080005A"/>
    <w:rsid w:val="0080407B"/>
    <w:rsid w:val="0081102C"/>
    <w:rsid w:val="00813609"/>
    <w:rsid w:val="008171AC"/>
    <w:rsid w:val="008248FB"/>
    <w:rsid w:val="00825CDF"/>
    <w:rsid w:val="00834692"/>
    <w:rsid w:val="00841DF2"/>
    <w:rsid w:val="00841EA9"/>
    <w:rsid w:val="0084650E"/>
    <w:rsid w:val="00863115"/>
    <w:rsid w:val="008710C1"/>
    <w:rsid w:val="00875E83"/>
    <w:rsid w:val="00876704"/>
    <w:rsid w:val="00883CF7"/>
    <w:rsid w:val="0088567B"/>
    <w:rsid w:val="008864A7"/>
    <w:rsid w:val="008947DD"/>
    <w:rsid w:val="008A2C7A"/>
    <w:rsid w:val="008B17AC"/>
    <w:rsid w:val="008B3C56"/>
    <w:rsid w:val="008B4B3B"/>
    <w:rsid w:val="008B6B43"/>
    <w:rsid w:val="008C4E70"/>
    <w:rsid w:val="008C7314"/>
    <w:rsid w:val="008D617B"/>
    <w:rsid w:val="008E1C9C"/>
    <w:rsid w:val="008E5F77"/>
    <w:rsid w:val="008E6A86"/>
    <w:rsid w:val="008F692A"/>
    <w:rsid w:val="009019C1"/>
    <w:rsid w:val="00901B79"/>
    <w:rsid w:val="0090204C"/>
    <w:rsid w:val="00907B8B"/>
    <w:rsid w:val="00912C69"/>
    <w:rsid w:val="00925F0A"/>
    <w:rsid w:val="00926915"/>
    <w:rsid w:val="00936B6A"/>
    <w:rsid w:val="00937E9F"/>
    <w:rsid w:val="00942A8D"/>
    <w:rsid w:val="00947457"/>
    <w:rsid w:val="009528B9"/>
    <w:rsid w:val="00956629"/>
    <w:rsid w:val="00957752"/>
    <w:rsid w:val="00984676"/>
    <w:rsid w:val="00993D46"/>
    <w:rsid w:val="00996F39"/>
    <w:rsid w:val="009A5B70"/>
    <w:rsid w:val="009A73AE"/>
    <w:rsid w:val="009B5418"/>
    <w:rsid w:val="009C0F2B"/>
    <w:rsid w:val="009D12F3"/>
    <w:rsid w:val="009D4033"/>
    <w:rsid w:val="009E4328"/>
    <w:rsid w:val="009F182B"/>
    <w:rsid w:val="009F211F"/>
    <w:rsid w:val="00A04F38"/>
    <w:rsid w:val="00A05E41"/>
    <w:rsid w:val="00A10076"/>
    <w:rsid w:val="00A42C90"/>
    <w:rsid w:val="00A4461E"/>
    <w:rsid w:val="00A4708F"/>
    <w:rsid w:val="00A53061"/>
    <w:rsid w:val="00A632C7"/>
    <w:rsid w:val="00A7065D"/>
    <w:rsid w:val="00A953C2"/>
    <w:rsid w:val="00AA4343"/>
    <w:rsid w:val="00AB6716"/>
    <w:rsid w:val="00AB7821"/>
    <w:rsid w:val="00AC092E"/>
    <w:rsid w:val="00AC6D9A"/>
    <w:rsid w:val="00AC7DF0"/>
    <w:rsid w:val="00AD1710"/>
    <w:rsid w:val="00AD76D7"/>
    <w:rsid w:val="00AE2CBD"/>
    <w:rsid w:val="00AE4BCD"/>
    <w:rsid w:val="00AF4272"/>
    <w:rsid w:val="00B0260A"/>
    <w:rsid w:val="00B050E9"/>
    <w:rsid w:val="00B076A2"/>
    <w:rsid w:val="00B11D45"/>
    <w:rsid w:val="00B15742"/>
    <w:rsid w:val="00B21E2D"/>
    <w:rsid w:val="00B25B57"/>
    <w:rsid w:val="00B406ED"/>
    <w:rsid w:val="00B40AA2"/>
    <w:rsid w:val="00B42650"/>
    <w:rsid w:val="00B427CD"/>
    <w:rsid w:val="00B43BAD"/>
    <w:rsid w:val="00B57C08"/>
    <w:rsid w:val="00B62566"/>
    <w:rsid w:val="00B63831"/>
    <w:rsid w:val="00B665E0"/>
    <w:rsid w:val="00B74C29"/>
    <w:rsid w:val="00B82A91"/>
    <w:rsid w:val="00B8367B"/>
    <w:rsid w:val="00B87B29"/>
    <w:rsid w:val="00B917D2"/>
    <w:rsid w:val="00BA122C"/>
    <w:rsid w:val="00C06834"/>
    <w:rsid w:val="00C11CCA"/>
    <w:rsid w:val="00C208C5"/>
    <w:rsid w:val="00C249F6"/>
    <w:rsid w:val="00C259D0"/>
    <w:rsid w:val="00C32554"/>
    <w:rsid w:val="00C41BBA"/>
    <w:rsid w:val="00C432E8"/>
    <w:rsid w:val="00C442B1"/>
    <w:rsid w:val="00C452F7"/>
    <w:rsid w:val="00C54CC7"/>
    <w:rsid w:val="00C56A22"/>
    <w:rsid w:val="00C61D4C"/>
    <w:rsid w:val="00C710EA"/>
    <w:rsid w:val="00C71466"/>
    <w:rsid w:val="00C75089"/>
    <w:rsid w:val="00C76494"/>
    <w:rsid w:val="00C81F91"/>
    <w:rsid w:val="00C9139C"/>
    <w:rsid w:val="00CB28FA"/>
    <w:rsid w:val="00CB48E7"/>
    <w:rsid w:val="00CB5952"/>
    <w:rsid w:val="00CB6545"/>
    <w:rsid w:val="00CC7007"/>
    <w:rsid w:val="00CE564F"/>
    <w:rsid w:val="00CF3DD0"/>
    <w:rsid w:val="00CF61B9"/>
    <w:rsid w:val="00CF6DBC"/>
    <w:rsid w:val="00D011C8"/>
    <w:rsid w:val="00D035FA"/>
    <w:rsid w:val="00D0732F"/>
    <w:rsid w:val="00D12F68"/>
    <w:rsid w:val="00D14076"/>
    <w:rsid w:val="00D2461F"/>
    <w:rsid w:val="00D34008"/>
    <w:rsid w:val="00D365FF"/>
    <w:rsid w:val="00D4155F"/>
    <w:rsid w:val="00D445A1"/>
    <w:rsid w:val="00D4679B"/>
    <w:rsid w:val="00D523E3"/>
    <w:rsid w:val="00D851FD"/>
    <w:rsid w:val="00D90C8D"/>
    <w:rsid w:val="00D91599"/>
    <w:rsid w:val="00DA52EF"/>
    <w:rsid w:val="00DA5F23"/>
    <w:rsid w:val="00DA6A56"/>
    <w:rsid w:val="00DB721A"/>
    <w:rsid w:val="00DB78B1"/>
    <w:rsid w:val="00DC7B5E"/>
    <w:rsid w:val="00DD2FEC"/>
    <w:rsid w:val="00DD3C15"/>
    <w:rsid w:val="00DD729B"/>
    <w:rsid w:val="00DF1622"/>
    <w:rsid w:val="00E10240"/>
    <w:rsid w:val="00E15DCA"/>
    <w:rsid w:val="00E16A95"/>
    <w:rsid w:val="00E239C7"/>
    <w:rsid w:val="00E3050E"/>
    <w:rsid w:val="00E306B8"/>
    <w:rsid w:val="00E50F63"/>
    <w:rsid w:val="00E50FF5"/>
    <w:rsid w:val="00E528C8"/>
    <w:rsid w:val="00E536C0"/>
    <w:rsid w:val="00E603C7"/>
    <w:rsid w:val="00E62530"/>
    <w:rsid w:val="00E6256B"/>
    <w:rsid w:val="00E715A0"/>
    <w:rsid w:val="00E72D7E"/>
    <w:rsid w:val="00E753D8"/>
    <w:rsid w:val="00E7663D"/>
    <w:rsid w:val="00E76E50"/>
    <w:rsid w:val="00E838AB"/>
    <w:rsid w:val="00E839EB"/>
    <w:rsid w:val="00E9269D"/>
    <w:rsid w:val="00EA5365"/>
    <w:rsid w:val="00EC7571"/>
    <w:rsid w:val="00ED3427"/>
    <w:rsid w:val="00ED58B4"/>
    <w:rsid w:val="00ED6E96"/>
    <w:rsid w:val="00ED7B62"/>
    <w:rsid w:val="00EE4A5A"/>
    <w:rsid w:val="00EF076B"/>
    <w:rsid w:val="00EF5AB8"/>
    <w:rsid w:val="00F05591"/>
    <w:rsid w:val="00F13751"/>
    <w:rsid w:val="00F14211"/>
    <w:rsid w:val="00F15126"/>
    <w:rsid w:val="00F2147F"/>
    <w:rsid w:val="00F22C19"/>
    <w:rsid w:val="00F25DFF"/>
    <w:rsid w:val="00F26D0B"/>
    <w:rsid w:val="00F32D6A"/>
    <w:rsid w:val="00F33A24"/>
    <w:rsid w:val="00F40995"/>
    <w:rsid w:val="00F53D0C"/>
    <w:rsid w:val="00F57CF4"/>
    <w:rsid w:val="00F62628"/>
    <w:rsid w:val="00F6441B"/>
    <w:rsid w:val="00F65E3D"/>
    <w:rsid w:val="00F70507"/>
    <w:rsid w:val="00F70D23"/>
    <w:rsid w:val="00F80CED"/>
    <w:rsid w:val="00F8539B"/>
    <w:rsid w:val="00F85469"/>
    <w:rsid w:val="00F8771D"/>
    <w:rsid w:val="00F9048A"/>
    <w:rsid w:val="00F9192E"/>
    <w:rsid w:val="00F935A7"/>
    <w:rsid w:val="00F94107"/>
    <w:rsid w:val="00F97D78"/>
    <w:rsid w:val="00FA15DD"/>
    <w:rsid w:val="00FA6F96"/>
    <w:rsid w:val="00FD429C"/>
    <w:rsid w:val="00FD64C4"/>
    <w:rsid w:val="00FF30CA"/>
    <w:rsid w:val="01757412"/>
    <w:rsid w:val="6FAA3E8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semiHidden="0" w:name="toc 1"/>
    <w:lsdException w:unhideWhenUsed="0" w:uiPriority="99"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nhideWhenUsed="0" w:uiPriority="99"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paragraph" w:styleId="2">
    <w:name w:val="heading 1"/>
    <w:basedOn w:val="1"/>
    <w:next w:val="1"/>
    <w:link w:val="19"/>
    <w:qFormat/>
    <w:uiPriority w:val="99"/>
    <w:pPr>
      <w:keepNext/>
      <w:keepLines/>
      <w:ind w:firstLine="0" w:firstLineChars="0"/>
      <w:jc w:val="center"/>
      <w:outlineLvl w:val="0"/>
    </w:pPr>
    <w:rPr>
      <w:b/>
      <w:bCs/>
      <w:kern w:val="44"/>
      <w:sz w:val="32"/>
      <w:szCs w:val="44"/>
    </w:rPr>
  </w:style>
  <w:style w:type="paragraph" w:styleId="3">
    <w:name w:val="heading 2"/>
    <w:basedOn w:val="1"/>
    <w:next w:val="1"/>
    <w:link w:val="20"/>
    <w:qFormat/>
    <w:uiPriority w:val="99"/>
    <w:pPr>
      <w:keepNext/>
      <w:keepLines/>
      <w:spacing w:beforeLines="50" w:afterLines="50"/>
      <w:ind w:firstLine="0" w:firstLineChars="0"/>
      <w:jc w:val="center"/>
      <w:outlineLvl w:val="1"/>
    </w:pPr>
    <w:rPr>
      <w:b/>
      <w:bCs/>
      <w:szCs w:val="32"/>
    </w:rPr>
  </w:style>
  <w:style w:type="character" w:default="1" w:styleId="15">
    <w:name w:val="Default Paragraph Font"/>
    <w:semiHidden/>
    <w:uiPriority w:val="99"/>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26"/>
    <w:semiHidden/>
    <w:uiPriority w:val="99"/>
    <w:rPr>
      <w:rFonts w:ascii="宋体"/>
      <w:sz w:val="18"/>
      <w:szCs w:val="18"/>
    </w:rPr>
  </w:style>
  <w:style w:type="paragraph" w:styleId="5">
    <w:name w:val="Body Text"/>
    <w:basedOn w:val="1"/>
    <w:link w:val="25"/>
    <w:semiHidden/>
    <w:uiPriority w:val="99"/>
    <w:pPr>
      <w:spacing w:after="120"/>
    </w:pPr>
  </w:style>
  <w:style w:type="paragraph" w:styleId="6">
    <w:name w:val="Body Text Indent"/>
    <w:basedOn w:val="1"/>
    <w:link w:val="24"/>
    <w:uiPriority w:val="99"/>
    <w:pPr>
      <w:spacing w:line="240" w:lineRule="auto"/>
      <w:ind w:right="-153" w:rightChars="-73" w:firstLine="855" w:firstLineChars="0"/>
    </w:pPr>
    <w:rPr>
      <w:szCs w:val="24"/>
    </w:rPr>
  </w:style>
  <w:style w:type="paragraph" w:styleId="7">
    <w:name w:val="Date"/>
    <w:basedOn w:val="1"/>
    <w:next w:val="1"/>
    <w:link w:val="21"/>
    <w:semiHidden/>
    <w:qFormat/>
    <w:uiPriority w:val="99"/>
    <w:pPr>
      <w:ind w:left="100" w:leftChars="2500"/>
    </w:pPr>
  </w:style>
  <w:style w:type="paragraph" w:styleId="8">
    <w:name w:val="Balloon Text"/>
    <w:basedOn w:val="1"/>
    <w:link w:val="28"/>
    <w:semiHidden/>
    <w:qFormat/>
    <w:uiPriority w:val="99"/>
    <w:pPr>
      <w:spacing w:line="240" w:lineRule="auto"/>
    </w:pPr>
    <w:rPr>
      <w:sz w:val="18"/>
      <w:szCs w:val="18"/>
    </w:rPr>
  </w:style>
  <w:style w:type="paragraph" w:styleId="9">
    <w:name w:val="footer"/>
    <w:basedOn w:val="1"/>
    <w:link w:val="23"/>
    <w:uiPriority w:val="99"/>
    <w:pPr>
      <w:tabs>
        <w:tab w:val="center" w:pos="4153"/>
        <w:tab w:val="right" w:pos="8306"/>
      </w:tabs>
      <w:snapToGrid w:val="0"/>
      <w:spacing w:line="240" w:lineRule="auto"/>
      <w:jc w:val="left"/>
    </w:pPr>
    <w:rPr>
      <w:sz w:val="18"/>
      <w:szCs w:val="18"/>
    </w:rPr>
  </w:style>
  <w:style w:type="paragraph" w:styleId="10">
    <w:name w:val="header"/>
    <w:basedOn w:val="1"/>
    <w:link w:val="22"/>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1">
    <w:name w:val="toc 1"/>
    <w:basedOn w:val="1"/>
    <w:next w:val="1"/>
    <w:autoRedefine/>
    <w:uiPriority w:val="99"/>
    <w:pPr>
      <w:tabs>
        <w:tab w:val="right" w:leader="dot" w:pos="8296"/>
      </w:tabs>
      <w:ind w:firstLine="0" w:firstLineChars="0"/>
      <w:jc w:val="center"/>
    </w:pPr>
    <w:rPr>
      <w:b/>
      <w:sz w:val="28"/>
      <w:szCs w:val="28"/>
    </w:rPr>
  </w:style>
  <w:style w:type="paragraph" w:styleId="12">
    <w:name w:val="toc 2"/>
    <w:basedOn w:val="1"/>
    <w:next w:val="1"/>
    <w:autoRedefine/>
    <w:uiPriority w:val="99"/>
    <w:pPr>
      <w:ind w:left="420" w:leftChars="200"/>
    </w:pPr>
  </w:style>
  <w:style w:type="table" w:styleId="14">
    <w:name w:val="Table Grid"/>
    <w:basedOn w:val="13"/>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99"/>
    <w:rPr>
      <w:rFonts w:cs="Times New Roman"/>
      <w:b/>
      <w:bCs/>
    </w:rPr>
  </w:style>
  <w:style w:type="character" w:styleId="17">
    <w:name w:val="Emphasis"/>
    <w:basedOn w:val="15"/>
    <w:qFormat/>
    <w:uiPriority w:val="99"/>
    <w:rPr>
      <w:rFonts w:cs="Times New Roman"/>
      <w:i/>
      <w:iCs/>
    </w:rPr>
  </w:style>
  <w:style w:type="character" w:styleId="18">
    <w:name w:val="Hyperlink"/>
    <w:basedOn w:val="15"/>
    <w:uiPriority w:val="99"/>
    <w:rPr>
      <w:rFonts w:cs="Times New Roman"/>
      <w:color w:val="0000FF"/>
      <w:u w:val="single"/>
    </w:rPr>
  </w:style>
  <w:style w:type="character" w:customStyle="1" w:styleId="19">
    <w:name w:val="Heading 1 Char"/>
    <w:basedOn w:val="15"/>
    <w:link w:val="2"/>
    <w:locked/>
    <w:uiPriority w:val="99"/>
    <w:rPr>
      <w:rFonts w:ascii="Times New Roman" w:hAnsi="Times New Roman" w:cs="Times New Roman"/>
      <w:b/>
      <w:bCs/>
      <w:kern w:val="44"/>
      <w:sz w:val="44"/>
      <w:szCs w:val="44"/>
    </w:rPr>
  </w:style>
  <w:style w:type="character" w:customStyle="1" w:styleId="20">
    <w:name w:val="Heading 2 Char"/>
    <w:basedOn w:val="15"/>
    <w:link w:val="3"/>
    <w:qFormat/>
    <w:locked/>
    <w:uiPriority w:val="99"/>
    <w:rPr>
      <w:rFonts w:ascii="Times New Roman" w:hAnsi="Times New Roman" w:eastAsia="宋体" w:cs="Times New Roman"/>
      <w:b/>
      <w:bCs/>
      <w:sz w:val="32"/>
      <w:szCs w:val="32"/>
    </w:rPr>
  </w:style>
  <w:style w:type="character" w:customStyle="1" w:styleId="21">
    <w:name w:val="Date Char"/>
    <w:basedOn w:val="15"/>
    <w:link w:val="7"/>
    <w:semiHidden/>
    <w:locked/>
    <w:uiPriority w:val="99"/>
    <w:rPr>
      <w:rFonts w:cs="Times New Roman"/>
    </w:rPr>
  </w:style>
  <w:style w:type="character" w:customStyle="1" w:styleId="22">
    <w:name w:val="Header Char"/>
    <w:basedOn w:val="15"/>
    <w:link w:val="10"/>
    <w:locked/>
    <w:uiPriority w:val="99"/>
    <w:rPr>
      <w:rFonts w:ascii="Times New Roman" w:hAnsi="Times New Roman" w:cs="Times New Roman"/>
      <w:sz w:val="18"/>
      <w:szCs w:val="18"/>
    </w:rPr>
  </w:style>
  <w:style w:type="character" w:customStyle="1" w:styleId="23">
    <w:name w:val="Footer Char"/>
    <w:basedOn w:val="15"/>
    <w:link w:val="9"/>
    <w:qFormat/>
    <w:locked/>
    <w:uiPriority w:val="99"/>
    <w:rPr>
      <w:rFonts w:ascii="Times New Roman" w:hAnsi="Times New Roman" w:cs="Times New Roman"/>
      <w:sz w:val="18"/>
      <w:szCs w:val="18"/>
    </w:rPr>
  </w:style>
  <w:style w:type="character" w:customStyle="1" w:styleId="24">
    <w:name w:val="Body Text Indent Char"/>
    <w:basedOn w:val="15"/>
    <w:link w:val="6"/>
    <w:locked/>
    <w:uiPriority w:val="99"/>
    <w:rPr>
      <w:rFonts w:ascii="Times New Roman" w:hAnsi="Times New Roman" w:eastAsia="宋体" w:cs="Times New Roman"/>
      <w:sz w:val="24"/>
      <w:szCs w:val="24"/>
    </w:rPr>
  </w:style>
  <w:style w:type="character" w:customStyle="1" w:styleId="25">
    <w:name w:val="Body Text Char"/>
    <w:basedOn w:val="15"/>
    <w:link w:val="5"/>
    <w:semiHidden/>
    <w:locked/>
    <w:uiPriority w:val="99"/>
    <w:rPr>
      <w:rFonts w:ascii="Times New Roman" w:hAnsi="Times New Roman" w:cs="Times New Roman"/>
      <w:sz w:val="24"/>
    </w:rPr>
  </w:style>
  <w:style w:type="character" w:customStyle="1" w:styleId="26">
    <w:name w:val="Document Map Char"/>
    <w:basedOn w:val="15"/>
    <w:link w:val="4"/>
    <w:semiHidden/>
    <w:qFormat/>
    <w:locked/>
    <w:uiPriority w:val="99"/>
    <w:rPr>
      <w:rFonts w:ascii="宋体" w:hAnsi="Times New Roman" w:eastAsia="宋体" w:cs="Times New Roman"/>
      <w:sz w:val="18"/>
      <w:szCs w:val="18"/>
    </w:rPr>
  </w:style>
  <w:style w:type="paragraph" w:styleId="27">
    <w:name w:val="List Paragraph"/>
    <w:basedOn w:val="1"/>
    <w:qFormat/>
    <w:uiPriority w:val="99"/>
    <w:pPr>
      <w:ind w:firstLine="420"/>
    </w:pPr>
  </w:style>
  <w:style w:type="character" w:customStyle="1" w:styleId="28">
    <w:name w:val="Balloon Text Char"/>
    <w:basedOn w:val="15"/>
    <w:link w:val="8"/>
    <w:semiHidden/>
    <w:qFormat/>
    <w:locked/>
    <w:uiPriority w:val="99"/>
    <w:rPr>
      <w:rFonts w:ascii="Times New Roman" w:hAnsi="Times New Roman" w:cs="Times New Roman"/>
      <w:sz w:val="18"/>
      <w:szCs w:val="18"/>
    </w:rPr>
  </w:style>
  <w:style w:type="character" w:customStyle="1" w:styleId="29">
    <w:name w:val="Char Char"/>
    <w:uiPriority w:val="99"/>
    <w:rPr>
      <w:rFonts w:ascii="Cambria" w:hAnsi="Cambria"/>
      <w:b/>
      <w:kern w:val="2"/>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china</Company>
  <Pages>54</Pages>
  <Words>9240</Words>
  <Characters>9628</Characters>
  <Lines>0</Lines>
  <Paragraphs>0</Paragraphs>
  <TotalTime>1452</TotalTime>
  <ScaleCrop>false</ScaleCrop>
  <LinksUpToDate>false</LinksUpToDate>
  <CharactersWithSpaces>9784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2018-03-06T01:07:00Z</dcterms:created>
  <dc:creator>Administrator</dc:creator>
  <cp:lastModifiedBy>谢丹</cp:lastModifiedBy>
  <cp:lastPrinted>2018-03-06T02:56:00Z</cp:lastPrinted>
  <dcterms:modified xsi:type="dcterms:W3CDTF">2025-02-10T04:04:54Z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eyJoZGlkIjoiZTI2ZmIyODA5YWRjOTY3ZjJhNmVlNjIwZmYzNzY5NTYiLCJ1c2VySWQiOiI0NTgxODk2ODUifQ==</vt:lpwstr>
  </property>
  <property fmtid="{D5CDD505-2E9C-101B-9397-08002B2CF9AE}" pid="3" name="KSOProductBuildVer">
    <vt:lpwstr>2052-12.1.0.19302</vt:lpwstr>
  </property>
  <property fmtid="{D5CDD505-2E9C-101B-9397-08002B2CF9AE}" pid="4" name="ICV">
    <vt:lpwstr>FBD3416AE20743339005A8893F68CAE9_12</vt:lpwstr>
  </property>
</Properties>
</file>