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贵州省氮肥产品质量监督抽查实施细则</w:t>
      </w:r>
    </w:p>
    <w:p>
      <w:pPr>
        <w:spacing w:line="440" w:lineRule="exact"/>
        <w:jc w:val="center"/>
        <w:rPr>
          <w:rFonts w:eastAsia="方正小标宋简体" w:cs="方正仿宋简体"/>
          <w:sz w:val="32"/>
          <w:szCs w:val="32"/>
        </w:rPr>
      </w:pPr>
      <w:r>
        <w:rPr>
          <w:rFonts w:hint="eastAsia" w:ascii="楷体_GB2312" w:hAnsi="楷体_GB2312" w:eastAsia="楷体_GB2312" w:cs="楷体_GB2312"/>
          <w:sz w:val="32"/>
          <w:szCs w:val="32"/>
        </w:rPr>
        <w:t>（2024年版）</w:t>
      </w:r>
    </w:p>
    <w:p>
      <w:pPr>
        <w:adjustRightInd w:val="0"/>
        <w:snapToGrid w:val="0"/>
        <w:spacing w:line="594" w:lineRule="exact"/>
        <w:jc w:val="center"/>
        <w:rPr>
          <w:rFonts w:eastAsia="方正小标宋简体" w:cs="方正仿宋简体"/>
          <w:sz w:val="32"/>
          <w:szCs w:val="32"/>
        </w:rPr>
      </w:pPr>
    </w:p>
    <w:p>
      <w:pPr>
        <w:snapToGrid w:val="0"/>
        <w:spacing w:line="440" w:lineRule="exact"/>
        <w:rPr>
          <w:rFonts w:ascii="黑体" w:hAnsi="黑体" w:eastAsia="黑体"/>
          <w:szCs w:val="21"/>
        </w:rPr>
      </w:pPr>
      <w:r>
        <w:rPr>
          <w:rFonts w:hint="eastAsia" w:ascii="黑体" w:hAnsi="黑体" w:eastAsia="黑体"/>
          <w:szCs w:val="21"/>
        </w:rPr>
        <w:t>1 抽样方法</w:t>
      </w:r>
    </w:p>
    <w:p>
      <w:pPr>
        <w:snapToGrid w:val="0"/>
        <w:spacing w:line="440" w:lineRule="exact"/>
        <w:ind w:firstLine="420" w:firstLineChars="200"/>
        <w:rPr>
          <w:rFonts w:ascii="宋体" w:hAnsi="宋体"/>
          <w:szCs w:val="21"/>
        </w:rPr>
      </w:pPr>
      <w:r>
        <w:rPr>
          <w:rFonts w:hint="eastAsia" w:ascii="宋体" w:hAnsi="宋体"/>
          <w:szCs w:val="21"/>
        </w:rPr>
        <w:t>以随机抽样的方式在被抽样生产者、销售者的待销产品中抽取。</w:t>
      </w:r>
    </w:p>
    <w:p>
      <w:pPr>
        <w:snapToGrid w:val="0"/>
        <w:spacing w:line="440" w:lineRule="exact"/>
        <w:ind w:firstLine="420" w:firstLineChars="200"/>
        <w:rPr>
          <w:rFonts w:ascii="宋体" w:hAnsi="宋体"/>
          <w:szCs w:val="21"/>
        </w:rPr>
      </w:pPr>
      <w:r>
        <w:rPr>
          <w:rFonts w:hint="eastAsia" w:ascii="宋体" w:hAnsi="宋体"/>
          <w:szCs w:val="21"/>
        </w:rPr>
        <w:t>随机数一般可使用随机数表等方法产生。</w:t>
      </w:r>
    </w:p>
    <w:p>
      <w:pPr>
        <w:snapToGrid w:val="0"/>
        <w:spacing w:line="440" w:lineRule="exact"/>
        <w:ind w:firstLine="420" w:firstLineChars="200"/>
        <w:rPr>
          <w:rFonts w:ascii="宋体" w:hAnsi="宋体"/>
          <w:szCs w:val="21"/>
        </w:rPr>
      </w:pPr>
      <w:bookmarkStart w:id="0" w:name="_Hlk103259270"/>
      <w:r>
        <w:rPr>
          <w:rFonts w:hint="eastAsia" w:ascii="宋体" w:hAnsi="宋体"/>
          <w:szCs w:val="21"/>
        </w:rPr>
        <w:t>将粒状样品缩分至约1kg、粉状样品缩分至约</w:t>
      </w:r>
      <w:r>
        <w:rPr>
          <w:rFonts w:ascii="宋体" w:hAnsi="宋体"/>
          <w:szCs w:val="21"/>
        </w:rPr>
        <w:t>0.5</w:t>
      </w:r>
      <w:r>
        <w:rPr>
          <w:rFonts w:hint="eastAsia" w:ascii="宋体" w:hAnsi="宋体"/>
          <w:szCs w:val="21"/>
        </w:rPr>
        <w:t>kg，再缩分成两份，分装于2个洁净、干燥的塑料瓶中。</w:t>
      </w:r>
      <w:r>
        <w:rPr>
          <w:rFonts w:ascii="宋体" w:hAnsi="宋体"/>
          <w:szCs w:val="21"/>
        </w:rPr>
        <w:t>1</w:t>
      </w:r>
      <w:r>
        <w:rPr>
          <w:rFonts w:hint="eastAsia" w:ascii="宋体" w:hAnsi="宋体"/>
          <w:szCs w:val="21"/>
        </w:rPr>
        <w:t>瓶作为检验样品，另</w:t>
      </w:r>
      <w:r>
        <w:rPr>
          <w:rFonts w:ascii="宋体" w:hAnsi="宋体"/>
          <w:szCs w:val="21"/>
        </w:rPr>
        <w:t>1</w:t>
      </w:r>
      <w:r>
        <w:rPr>
          <w:rFonts w:hint="eastAsia" w:ascii="宋体" w:hAnsi="宋体"/>
          <w:szCs w:val="21"/>
        </w:rPr>
        <w:t>瓶作为备用样品。</w:t>
      </w:r>
    </w:p>
    <w:bookmarkEnd w:id="0"/>
    <w:p>
      <w:pPr>
        <w:snapToGrid w:val="0"/>
        <w:spacing w:line="440" w:lineRule="exact"/>
        <w:ind w:firstLine="420" w:firstLineChars="200"/>
        <w:rPr>
          <w:rFonts w:ascii="宋体" w:hAnsi="宋体"/>
          <w:szCs w:val="21"/>
        </w:rPr>
      </w:pPr>
    </w:p>
    <w:p>
      <w:pPr>
        <w:snapToGrid w:val="0"/>
        <w:spacing w:line="440" w:lineRule="exact"/>
        <w:rPr>
          <w:rFonts w:ascii="黑体" w:hAnsi="黑体" w:eastAsia="黑体"/>
          <w:bCs/>
          <w:szCs w:val="21"/>
        </w:rPr>
      </w:pPr>
      <w:r>
        <w:rPr>
          <w:rFonts w:hint="eastAsia" w:ascii="黑体" w:hAnsi="黑体" w:eastAsia="黑体"/>
          <w:szCs w:val="21"/>
        </w:rPr>
        <w:t>2 检验依据</w:t>
      </w:r>
    </w:p>
    <w:p>
      <w:pPr>
        <w:snapToGrid w:val="0"/>
        <w:spacing w:line="440" w:lineRule="exact"/>
        <w:jc w:val="center"/>
        <w:rPr>
          <w:bCs/>
          <w:szCs w:val="21"/>
        </w:rPr>
      </w:pPr>
      <w:r>
        <w:rPr>
          <w:rFonts w:hint="eastAsia"/>
          <w:bCs/>
          <w:szCs w:val="21"/>
        </w:rPr>
        <w:t>表1尿素</w:t>
      </w:r>
    </w:p>
    <w:tbl>
      <w:tblPr>
        <w:tblStyle w:val="8"/>
        <w:tblW w:w="880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1730"/>
        <w:gridCol w:w="297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pPr>
              <w:widowControl/>
              <w:jc w:val="center"/>
              <w:rPr>
                <w:kern w:val="0"/>
                <w:szCs w:val="21"/>
              </w:rPr>
            </w:pPr>
            <w:r>
              <w:rPr>
                <w:kern w:val="0"/>
                <w:szCs w:val="21"/>
              </w:rPr>
              <w:t>序号</w:t>
            </w: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检验项目</w:t>
            </w:r>
          </w:p>
        </w:tc>
        <w:tc>
          <w:tcPr>
            <w:tcW w:w="3402" w:type="dxa"/>
            <w:tcBorders>
              <w:tl2br w:val="nil"/>
              <w:tr2bl w:val="nil"/>
            </w:tcBorders>
            <w:shd w:val="clear" w:color="auto" w:fill="FFFFFF"/>
            <w:vAlign w:val="center"/>
          </w:tcPr>
          <w:p>
            <w:pPr>
              <w:widowControl/>
              <w:jc w:val="center"/>
              <w:rPr>
                <w:kern w:val="0"/>
                <w:szCs w:val="21"/>
              </w:rPr>
            </w:pPr>
            <w:r>
              <w:rPr>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总氮</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N)</w:t>
            </w:r>
            <w:r>
              <w:rPr>
                <w:rFonts w:hint="eastAsia"/>
                <w:color w:val="000000" w:themeColor="text1"/>
                <w:kern w:val="0"/>
                <w:szCs w:val="21"/>
                <w14:textFill>
                  <w14:solidFill>
                    <w14:schemeClr w14:val="tx1"/>
                  </w14:solidFill>
                </w14:textFill>
              </w:rPr>
              <w:t>的质量分数</w:t>
            </w:r>
          </w:p>
        </w:tc>
        <w:tc>
          <w:tcPr>
            <w:tcW w:w="3402" w:type="dxa"/>
            <w:tcBorders>
              <w:tl2br w:val="nil"/>
              <w:tr2bl w:val="nil"/>
            </w:tcBorders>
            <w:shd w:val="clear" w:color="auto" w:fill="FFFFFF"/>
            <w:vAlign w:val="center"/>
          </w:tcPr>
          <w:p>
            <w:pPr>
              <w:jc w:val="center"/>
              <w:rPr>
                <w:kern w:val="0"/>
                <w:szCs w:val="21"/>
              </w:rPr>
            </w:pPr>
            <w:r>
              <w:rPr>
                <w:kern w:val="0"/>
                <w:szCs w:val="21"/>
              </w:rPr>
              <w:t>GB/T 2441.1-2008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缩二脲</w:t>
            </w:r>
            <w:r>
              <w:rPr>
                <w:rFonts w:hint="eastAsia"/>
                <w:color w:val="000000" w:themeColor="text1"/>
                <w:kern w:val="0"/>
                <w:szCs w:val="21"/>
                <w14:textFill>
                  <w14:solidFill>
                    <w14:schemeClr w14:val="tx1"/>
                  </w14:solidFill>
                </w14:textFill>
              </w:rPr>
              <w:t>的质量分数</w:t>
            </w:r>
          </w:p>
        </w:tc>
        <w:tc>
          <w:tcPr>
            <w:tcW w:w="3402" w:type="dxa"/>
            <w:tcBorders>
              <w:tl2br w:val="nil"/>
              <w:tr2bl w:val="nil"/>
            </w:tcBorders>
            <w:shd w:val="clear" w:color="auto" w:fill="FFFFFF"/>
            <w:vAlign w:val="center"/>
          </w:tcPr>
          <w:p>
            <w:pPr>
              <w:jc w:val="center"/>
              <w:rPr>
                <w:kern w:val="0"/>
                <w:szCs w:val="21"/>
              </w:rPr>
            </w:pPr>
            <w:r>
              <w:rPr>
                <w:kern w:val="0"/>
                <w:szCs w:val="21"/>
              </w:rPr>
              <w:t>GB/T 2441.2-2010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水分</w:t>
            </w:r>
          </w:p>
        </w:tc>
        <w:tc>
          <w:tcPr>
            <w:tcW w:w="3402" w:type="dxa"/>
            <w:tcBorders>
              <w:tl2br w:val="nil"/>
              <w:tr2bl w:val="nil"/>
            </w:tcBorders>
            <w:shd w:val="clear" w:color="auto" w:fill="FFFFFF"/>
            <w:vAlign w:val="center"/>
          </w:tcPr>
          <w:p>
            <w:pPr>
              <w:widowControl/>
              <w:jc w:val="center"/>
              <w:rPr>
                <w:kern w:val="0"/>
                <w:szCs w:val="21"/>
              </w:rPr>
            </w:pPr>
            <w:r>
              <w:rPr>
                <w:rFonts w:hint="eastAsia"/>
                <w:kern w:val="0"/>
                <w:szCs w:val="21"/>
              </w:rPr>
              <w:t>G</w:t>
            </w:r>
            <w:r>
              <w:rPr>
                <w:kern w:val="0"/>
                <w:szCs w:val="21"/>
              </w:rPr>
              <w:t>B/T 2441.3-2010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亚甲基二脲(以</w:t>
            </w:r>
            <w:r>
              <w:rPr>
                <w:color w:val="000000" w:themeColor="text1"/>
                <w:kern w:val="0"/>
                <w:szCs w:val="21"/>
                <w14:textFill>
                  <w14:solidFill>
                    <w14:schemeClr w14:val="tx1"/>
                  </w14:solidFill>
                </w14:textFill>
              </w:rPr>
              <w:t>HCHO</w:t>
            </w:r>
            <w:r>
              <w:rPr>
                <w:rFonts w:hint="eastAsia"/>
                <w:color w:val="000000" w:themeColor="text1"/>
                <w:kern w:val="0"/>
                <w:szCs w:val="21"/>
                <w14:textFill>
                  <w14:solidFill>
                    <w14:schemeClr w14:val="tx1"/>
                  </w14:solidFill>
                </w14:textFill>
              </w:rPr>
              <w:t>计</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的质量分数</w:t>
            </w:r>
            <w:r>
              <w:rPr>
                <w:rFonts w:hint="eastAsia"/>
                <w:color w:val="auto"/>
                <w:kern w:val="0"/>
                <w:szCs w:val="21"/>
                <w:vertAlign w:val="superscript"/>
              </w:rPr>
              <w:t>a</w:t>
            </w:r>
          </w:p>
        </w:tc>
        <w:tc>
          <w:tcPr>
            <w:tcW w:w="3402" w:type="dxa"/>
            <w:tcBorders>
              <w:tl2br w:val="nil"/>
              <w:tr2bl w:val="nil"/>
            </w:tcBorders>
            <w:shd w:val="clear" w:color="auto" w:fill="FFFFFF"/>
            <w:vAlign w:val="center"/>
          </w:tcPr>
          <w:p>
            <w:pPr>
              <w:jc w:val="center"/>
              <w:rPr>
                <w:kern w:val="0"/>
                <w:szCs w:val="21"/>
              </w:rPr>
            </w:pPr>
            <w:r>
              <w:rPr>
                <w:kern w:val="0"/>
                <w:szCs w:val="21"/>
              </w:rPr>
              <w:t>GB/T 2441.9-2010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699" w:type="dxa"/>
            <w:vMerge w:val="restart"/>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1730" w:type="dxa"/>
            <w:vMerge w:val="restart"/>
            <w:tcBorders>
              <w:tl2br w:val="nil"/>
              <w:tr2bl w:val="nil"/>
            </w:tcBorders>
            <w:shd w:val="clear" w:color="auto" w:fill="FFFFFF"/>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粒度</w:t>
            </w:r>
            <w:r>
              <w:rPr>
                <w:rFonts w:hint="eastAsia"/>
                <w:color w:val="auto"/>
                <w:kern w:val="0"/>
                <w:szCs w:val="21"/>
                <w:vertAlign w:val="superscript"/>
              </w:rPr>
              <w:t>b</w:t>
            </w:r>
          </w:p>
        </w:tc>
        <w:tc>
          <w:tcPr>
            <w:tcW w:w="2977" w:type="dxa"/>
            <w:tcBorders>
              <w:tl2br w:val="nil"/>
              <w:tr2bl w:val="nil"/>
            </w:tcBorders>
            <w:shd w:val="clear" w:color="auto" w:fill="FFFFFF"/>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d</w:t>
            </w:r>
            <w:r>
              <w:rPr>
                <w:color w:val="000000" w:themeColor="text1"/>
                <w:kern w:val="0"/>
                <w:szCs w:val="21"/>
                <w14:textFill>
                  <w14:solidFill>
                    <w14:schemeClr w14:val="tx1"/>
                  </w14:solidFill>
                </w14:textFill>
              </w:rPr>
              <w:t xml:space="preserve"> 0.85</w:t>
            </w:r>
            <w:r>
              <w:rPr>
                <w:rFonts w:hint="eastAsia"/>
                <w:color w:val="000000" w:themeColor="text1"/>
                <w:kern w:val="0"/>
                <w:szCs w:val="21"/>
                <w14:textFill>
                  <w14:solidFill>
                    <w14:schemeClr w14:val="tx1"/>
                  </w14:solidFill>
                </w14:textFill>
              </w:rPr>
              <w:t>mm</w:t>
            </w:r>
            <w:r>
              <w:rPr>
                <w:color w:val="000000" w:themeColor="text1"/>
                <w:kern w:val="0"/>
                <w:szCs w:val="21"/>
                <w14:textFill>
                  <w14:solidFill>
                    <w14:schemeClr w14:val="tx1"/>
                  </w14:solidFill>
                </w14:textFill>
              </w:rPr>
              <w:t>~2.80</w:t>
            </w:r>
            <w:r>
              <w:rPr>
                <w:rFonts w:hint="eastAsia"/>
                <w:color w:val="000000" w:themeColor="text1"/>
                <w:kern w:val="0"/>
                <w:szCs w:val="21"/>
                <w14:textFill>
                  <w14:solidFill>
                    <w14:schemeClr w14:val="tx1"/>
                  </w14:solidFill>
                </w14:textFill>
              </w:rPr>
              <w:t>mm</w:t>
            </w:r>
          </w:p>
        </w:tc>
        <w:tc>
          <w:tcPr>
            <w:tcW w:w="3402" w:type="dxa"/>
            <w:vMerge w:val="restart"/>
            <w:tcBorders>
              <w:tl2br w:val="nil"/>
              <w:tr2bl w:val="nil"/>
            </w:tcBorders>
            <w:shd w:val="clear" w:color="auto" w:fill="FFFFFF"/>
            <w:vAlign w:val="center"/>
          </w:tcPr>
          <w:p>
            <w:pPr>
              <w:widowControl/>
              <w:jc w:val="center"/>
              <w:rPr>
                <w:kern w:val="0"/>
                <w:szCs w:val="21"/>
              </w:rPr>
            </w:pPr>
            <w:r>
              <w:rPr>
                <w:kern w:val="0"/>
                <w:szCs w:val="21"/>
              </w:rPr>
              <w:t>GB/T 2441.7-2010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699" w:type="dxa"/>
            <w:vMerge w:val="continue"/>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1730" w:type="dxa"/>
            <w:vMerge w:val="continue"/>
            <w:tcBorders>
              <w:tl2br w:val="nil"/>
              <w:tr2bl w:val="nil"/>
            </w:tcBorders>
            <w:shd w:val="clear" w:color="auto" w:fill="FFFFFF"/>
            <w:noWrap/>
            <w:vAlign w:val="center"/>
          </w:tcPr>
          <w:p>
            <w:pPr>
              <w:widowControl/>
              <w:jc w:val="center"/>
              <w:rPr>
                <w:color w:val="000000" w:themeColor="text1"/>
                <w:kern w:val="0"/>
                <w:szCs w:val="21"/>
                <w14:textFill>
                  <w14:solidFill>
                    <w14:schemeClr w14:val="tx1"/>
                  </w14:solidFill>
                </w14:textFill>
              </w:rPr>
            </w:pPr>
          </w:p>
        </w:tc>
        <w:tc>
          <w:tcPr>
            <w:tcW w:w="2977" w:type="dxa"/>
            <w:tcBorders>
              <w:tl2br w:val="nil"/>
              <w:tr2bl w:val="nil"/>
            </w:tcBorders>
            <w:shd w:val="clear" w:color="auto" w:fill="FFFFFF"/>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d</w:t>
            </w:r>
            <w:r>
              <w:rPr>
                <w:color w:val="000000" w:themeColor="text1"/>
                <w:kern w:val="0"/>
                <w:szCs w:val="21"/>
                <w14:textFill>
                  <w14:solidFill>
                    <w14:schemeClr w14:val="tx1"/>
                  </w14:solidFill>
                </w14:textFill>
              </w:rPr>
              <w:t xml:space="preserve"> 1.18</w:t>
            </w:r>
            <w:r>
              <w:rPr>
                <w:rFonts w:hint="eastAsia"/>
                <w:color w:val="000000" w:themeColor="text1"/>
                <w:kern w:val="0"/>
                <w:szCs w:val="21"/>
                <w14:textFill>
                  <w14:solidFill>
                    <w14:schemeClr w14:val="tx1"/>
                  </w14:solidFill>
                </w14:textFill>
              </w:rPr>
              <w:t>mm</w:t>
            </w:r>
            <w:r>
              <w:rPr>
                <w:color w:val="000000" w:themeColor="text1"/>
                <w:kern w:val="0"/>
                <w:szCs w:val="21"/>
                <w14:textFill>
                  <w14:solidFill>
                    <w14:schemeClr w14:val="tx1"/>
                  </w14:solidFill>
                </w14:textFill>
              </w:rPr>
              <w:t>~3.35</w:t>
            </w:r>
            <w:r>
              <w:rPr>
                <w:rFonts w:hint="eastAsia"/>
                <w:color w:val="000000" w:themeColor="text1"/>
                <w:kern w:val="0"/>
                <w:szCs w:val="21"/>
                <w14:textFill>
                  <w14:solidFill>
                    <w14:schemeClr w14:val="tx1"/>
                  </w14:solidFill>
                </w14:textFill>
              </w:rPr>
              <w:t>mm</w:t>
            </w:r>
          </w:p>
        </w:tc>
        <w:tc>
          <w:tcPr>
            <w:tcW w:w="3402" w:type="dxa"/>
            <w:vMerge w:val="continue"/>
            <w:tcBorders>
              <w:tl2br w:val="nil"/>
              <w:tr2bl w:val="nil"/>
            </w:tcBorders>
            <w:shd w:val="clear" w:color="auto" w:fill="FFFFFF"/>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1730" w:type="dxa"/>
            <w:vMerge w:val="continue"/>
            <w:tcBorders>
              <w:tl2br w:val="nil"/>
              <w:tr2bl w:val="nil"/>
            </w:tcBorders>
            <w:shd w:val="clear" w:color="auto" w:fill="FFFFFF"/>
            <w:noWrap/>
            <w:vAlign w:val="center"/>
          </w:tcPr>
          <w:p>
            <w:pPr>
              <w:widowControl/>
              <w:jc w:val="center"/>
              <w:rPr>
                <w:kern w:val="0"/>
                <w:szCs w:val="21"/>
              </w:rPr>
            </w:pPr>
          </w:p>
        </w:tc>
        <w:tc>
          <w:tcPr>
            <w:tcW w:w="2977" w:type="dxa"/>
            <w:tcBorders>
              <w:tl2br w:val="nil"/>
              <w:tr2bl w:val="nil"/>
            </w:tcBorders>
            <w:shd w:val="clear" w:color="auto" w:fill="FFFFFF"/>
            <w:vAlign w:val="center"/>
          </w:tcPr>
          <w:p>
            <w:pPr>
              <w:widowControl/>
              <w:jc w:val="center"/>
              <w:rPr>
                <w:kern w:val="0"/>
                <w:szCs w:val="21"/>
              </w:rPr>
            </w:pPr>
            <w:r>
              <w:rPr>
                <w:rFonts w:hint="eastAsia"/>
                <w:kern w:val="0"/>
                <w:szCs w:val="21"/>
              </w:rPr>
              <w:t>d</w:t>
            </w:r>
            <w:r>
              <w:rPr>
                <w:kern w:val="0"/>
                <w:szCs w:val="21"/>
              </w:rPr>
              <w:t xml:space="preserve"> 2.00</w:t>
            </w:r>
            <w:r>
              <w:rPr>
                <w:rFonts w:hint="eastAsia"/>
                <w:kern w:val="0"/>
                <w:szCs w:val="21"/>
              </w:rPr>
              <w:t>mm</w:t>
            </w:r>
            <w:r>
              <w:rPr>
                <w:kern w:val="0"/>
                <w:szCs w:val="21"/>
              </w:rPr>
              <w:t>~4.75</w:t>
            </w:r>
            <w:r>
              <w:rPr>
                <w:rFonts w:hint="eastAsia"/>
                <w:kern w:val="0"/>
                <w:szCs w:val="21"/>
              </w:rPr>
              <w:t>mm</w:t>
            </w:r>
          </w:p>
        </w:tc>
        <w:tc>
          <w:tcPr>
            <w:tcW w:w="3402" w:type="dxa"/>
            <w:vMerge w:val="continue"/>
            <w:tcBorders>
              <w:tl2br w:val="nil"/>
              <w:tr2bl w:val="nil"/>
            </w:tcBorders>
            <w:shd w:val="clear" w:color="auto" w:fill="FFFFFF"/>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1730" w:type="dxa"/>
            <w:vMerge w:val="continue"/>
            <w:tcBorders>
              <w:tl2br w:val="nil"/>
              <w:tr2bl w:val="nil"/>
            </w:tcBorders>
            <w:shd w:val="clear" w:color="auto" w:fill="FFFFFF"/>
            <w:noWrap/>
            <w:vAlign w:val="center"/>
          </w:tcPr>
          <w:p>
            <w:pPr>
              <w:widowControl/>
              <w:jc w:val="center"/>
              <w:rPr>
                <w:kern w:val="0"/>
                <w:szCs w:val="21"/>
              </w:rPr>
            </w:pPr>
          </w:p>
        </w:tc>
        <w:tc>
          <w:tcPr>
            <w:tcW w:w="2977" w:type="dxa"/>
            <w:tcBorders>
              <w:tl2br w:val="nil"/>
              <w:tr2bl w:val="nil"/>
            </w:tcBorders>
            <w:shd w:val="clear" w:color="auto" w:fill="FFFFFF"/>
            <w:vAlign w:val="center"/>
          </w:tcPr>
          <w:p>
            <w:pPr>
              <w:widowControl/>
              <w:jc w:val="center"/>
              <w:rPr>
                <w:kern w:val="0"/>
                <w:szCs w:val="21"/>
              </w:rPr>
            </w:pPr>
            <w:r>
              <w:rPr>
                <w:rFonts w:hint="eastAsia"/>
                <w:kern w:val="0"/>
                <w:szCs w:val="21"/>
              </w:rPr>
              <w:t>d</w:t>
            </w:r>
            <w:r>
              <w:rPr>
                <w:kern w:val="0"/>
                <w:szCs w:val="21"/>
              </w:rPr>
              <w:t xml:space="preserve"> 4.00</w:t>
            </w:r>
            <w:r>
              <w:rPr>
                <w:rFonts w:hint="eastAsia"/>
                <w:kern w:val="0"/>
                <w:szCs w:val="21"/>
              </w:rPr>
              <w:t>mm</w:t>
            </w:r>
            <w:r>
              <w:rPr>
                <w:kern w:val="0"/>
                <w:szCs w:val="21"/>
              </w:rPr>
              <w:t>~8.00</w:t>
            </w:r>
            <w:r>
              <w:rPr>
                <w:rFonts w:hint="eastAsia"/>
                <w:kern w:val="0"/>
                <w:szCs w:val="21"/>
              </w:rPr>
              <w:t>mm</w:t>
            </w:r>
          </w:p>
        </w:tc>
        <w:tc>
          <w:tcPr>
            <w:tcW w:w="3402" w:type="dxa"/>
            <w:vMerge w:val="continue"/>
            <w:tcBorders>
              <w:tl2br w:val="nil"/>
              <w:tr2bl w:val="nil"/>
            </w:tcBorders>
            <w:shd w:val="clear" w:color="auto" w:fill="FFFFFF"/>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总砷</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总镉</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总铅</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总铬</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总汞</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总铊</w:t>
            </w:r>
          </w:p>
        </w:tc>
        <w:tc>
          <w:tcPr>
            <w:tcW w:w="3402" w:type="dxa"/>
            <w:tcBorders>
              <w:tl2br w:val="nil"/>
              <w:tr2bl w:val="nil"/>
            </w:tcBorders>
            <w:shd w:val="clear" w:color="auto" w:fill="FFFFFF"/>
            <w:vAlign w:val="center"/>
          </w:tcPr>
          <w:p>
            <w:pPr>
              <w:widowControl/>
              <w:jc w:val="center"/>
              <w:rPr>
                <w:kern w:val="0"/>
                <w:szCs w:val="21"/>
              </w:rPr>
            </w:pPr>
            <w:r>
              <w:rPr>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99" w:type="dxa"/>
            <w:tcBorders>
              <w:tl2br w:val="nil"/>
              <w:tr2bl w:val="nil"/>
            </w:tcBorders>
            <w:shd w:val="clear" w:color="auto" w:fill="FFFFFF"/>
            <w:noWrap/>
            <w:vAlign w:val="center"/>
          </w:tcPr>
          <w:p>
            <w:pPr>
              <w:pStyle w:val="17"/>
              <w:widowControl/>
              <w:numPr>
                <w:ilvl w:val="0"/>
                <w:numId w:val="1"/>
              </w:numPr>
              <w:ind w:firstLineChars="0"/>
              <w:jc w:val="center"/>
              <w:rPr>
                <w:rFonts w:ascii="Times New Roman" w:hAnsi="Times New Roman" w:eastAsia="宋体"/>
                <w:kern w:val="0"/>
                <w:szCs w:val="21"/>
              </w:rPr>
            </w:pPr>
          </w:p>
        </w:tc>
        <w:tc>
          <w:tcPr>
            <w:tcW w:w="4707" w:type="dxa"/>
            <w:gridSpan w:val="2"/>
            <w:tcBorders>
              <w:tl2br w:val="nil"/>
              <w:tr2bl w:val="nil"/>
            </w:tcBorders>
            <w:shd w:val="clear" w:color="auto" w:fill="FFFFFF"/>
            <w:noWrap/>
            <w:vAlign w:val="center"/>
          </w:tcPr>
          <w:p>
            <w:pPr>
              <w:widowControl/>
              <w:jc w:val="center"/>
              <w:rPr>
                <w:kern w:val="0"/>
                <w:szCs w:val="21"/>
              </w:rPr>
            </w:pPr>
            <w:r>
              <w:rPr>
                <w:kern w:val="0"/>
                <w:szCs w:val="21"/>
              </w:rPr>
              <w:t>包装标识（养分含量、警示语、名称中的禁用语</w:t>
            </w:r>
            <w:r>
              <w:rPr>
                <w:rFonts w:hint="eastAsia"/>
                <w:kern w:val="0"/>
                <w:szCs w:val="21"/>
              </w:rPr>
              <w:t>等内容</w:t>
            </w:r>
            <w:r>
              <w:rPr>
                <w:kern w:val="0"/>
                <w:szCs w:val="21"/>
              </w:rPr>
              <w:t>）</w:t>
            </w:r>
          </w:p>
        </w:tc>
        <w:tc>
          <w:tcPr>
            <w:tcW w:w="3402" w:type="dxa"/>
            <w:tcBorders>
              <w:tl2br w:val="nil"/>
              <w:tr2bl w:val="nil"/>
            </w:tcBorders>
            <w:shd w:val="clear" w:color="auto" w:fill="FFFFFF"/>
            <w:vAlign w:val="center"/>
          </w:tcPr>
          <w:p>
            <w:pPr>
              <w:widowControl/>
              <w:jc w:val="center"/>
              <w:rPr>
                <w:kern w:val="0"/>
                <w:szCs w:val="21"/>
              </w:rPr>
            </w:pPr>
            <w:r>
              <w:rPr>
                <w:kern w:val="0"/>
                <w:szCs w:val="21"/>
              </w:rPr>
              <w:t>GB 18382-2021</w:t>
            </w:r>
          </w:p>
          <w:p>
            <w:pPr>
              <w:jc w:val="center"/>
              <w:rPr>
                <w:kern w:val="0"/>
                <w:szCs w:val="21"/>
              </w:rPr>
            </w:pPr>
            <w:r>
              <w:rPr>
                <w:kern w:val="0"/>
                <w:szCs w:val="21"/>
              </w:rPr>
              <w:t>GB/T 2440-2017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99" w:type="dxa"/>
            <w:tcBorders>
              <w:tl2br w:val="nil"/>
              <w:tr2bl w:val="nil"/>
            </w:tcBorders>
            <w:shd w:val="clear" w:color="auto" w:fill="FFFFFF"/>
            <w:noWrap/>
            <w:vAlign w:val="center"/>
          </w:tcPr>
          <w:p>
            <w:pPr>
              <w:pStyle w:val="17"/>
              <w:widowControl/>
              <w:ind w:firstLine="0" w:firstLineChars="0"/>
              <w:rPr>
                <w:rFonts w:ascii="Times New Roman" w:hAnsi="Times New Roman" w:eastAsia="宋体"/>
                <w:kern w:val="0"/>
                <w:szCs w:val="21"/>
              </w:rPr>
            </w:pPr>
            <w:r>
              <w:rPr>
                <w:rFonts w:hint="eastAsia" w:ascii="Times New Roman" w:hAnsi="Times New Roman" w:eastAsia="宋体"/>
                <w:kern w:val="0"/>
                <w:szCs w:val="21"/>
              </w:rPr>
              <w:t>说明</w:t>
            </w:r>
          </w:p>
        </w:tc>
        <w:tc>
          <w:tcPr>
            <w:tcW w:w="8109" w:type="dxa"/>
            <w:gridSpan w:val="3"/>
            <w:tcBorders>
              <w:tl2br w:val="nil"/>
              <w:tr2bl w:val="nil"/>
            </w:tcBorders>
            <w:shd w:val="clear" w:color="auto" w:fill="FFFFFF"/>
            <w:noWrap/>
            <w:vAlign w:val="center"/>
          </w:tcPr>
          <w:p>
            <w:pPr>
              <w:widowControl/>
              <w:rPr>
                <w:kern w:val="0"/>
                <w:szCs w:val="21"/>
              </w:rPr>
            </w:pPr>
            <w:r>
              <w:rPr>
                <w:rFonts w:hint="eastAsia"/>
                <w:color w:val="auto"/>
                <w:kern w:val="0"/>
                <w:szCs w:val="21"/>
              </w:rPr>
              <w:t>a、</w:t>
            </w:r>
            <w:r>
              <w:rPr>
                <w:rFonts w:hint="eastAsia"/>
                <w:kern w:val="0"/>
                <w:szCs w:val="21"/>
              </w:rPr>
              <w:t>若尿素生产工艺中不加甲醛,不测亚甲基二脲。</w:t>
            </w:r>
          </w:p>
          <w:p>
            <w:pPr>
              <w:jc w:val="left"/>
              <w:rPr>
                <w:kern w:val="0"/>
                <w:szCs w:val="21"/>
              </w:rPr>
            </w:pPr>
            <w:r>
              <w:rPr>
                <w:rFonts w:hint="eastAsia"/>
                <w:color w:val="auto"/>
                <w:kern w:val="0"/>
                <w:szCs w:val="21"/>
              </w:rPr>
              <w:t>b、</w:t>
            </w:r>
            <w:r>
              <w:rPr>
                <w:rFonts w:hint="eastAsia"/>
                <w:kern w:val="0"/>
                <w:szCs w:val="21"/>
              </w:rPr>
              <w:t>只需符合四档中任意一档即可,包装标识中应标明粒径范围。</w:t>
            </w:r>
          </w:p>
        </w:tc>
      </w:tr>
    </w:tbl>
    <w:p>
      <w:pPr>
        <w:snapToGrid w:val="0"/>
        <w:spacing w:line="440" w:lineRule="exact"/>
        <w:rPr>
          <w:bCs/>
          <w:szCs w:val="21"/>
        </w:rPr>
      </w:pPr>
    </w:p>
    <w:p>
      <w:pPr>
        <w:snapToGrid w:val="0"/>
        <w:spacing w:line="440" w:lineRule="exact"/>
        <w:jc w:val="center"/>
        <w:rPr>
          <w:bCs/>
          <w:szCs w:val="21"/>
        </w:rPr>
      </w:pPr>
      <w:r>
        <w:rPr>
          <w:bCs/>
          <w:szCs w:val="21"/>
        </w:rPr>
        <w:t>表</w:t>
      </w:r>
      <w:r>
        <w:rPr>
          <w:rFonts w:hint="eastAsia"/>
          <w:bCs/>
          <w:szCs w:val="21"/>
        </w:rPr>
        <w:t>2农业用氯化铵</w:t>
      </w:r>
    </w:p>
    <w:tbl>
      <w:tblPr>
        <w:tblStyle w:val="8"/>
        <w:tblW w:w="880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70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99" w:type="dxa"/>
            <w:tcBorders>
              <w:tl2br w:val="nil"/>
              <w:tr2bl w:val="nil"/>
            </w:tcBorders>
            <w:shd w:val="clear" w:color="auto" w:fill="auto"/>
            <w:vAlign w:val="center"/>
          </w:tcPr>
          <w:p>
            <w:pPr>
              <w:widowControl/>
              <w:jc w:val="center"/>
              <w:rPr>
                <w:kern w:val="0"/>
                <w:szCs w:val="21"/>
              </w:rPr>
            </w:pPr>
            <w:r>
              <w:rPr>
                <w:kern w:val="0"/>
                <w:szCs w:val="21"/>
              </w:rPr>
              <w:t>序号</w:t>
            </w:r>
          </w:p>
        </w:tc>
        <w:tc>
          <w:tcPr>
            <w:tcW w:w="4707" w:type="dxa"/>
            <w:tcBorders>
              <w:tl2br w:val="nil"/>
              <w:tr2bl w:val="nil"/>
            </w:tcBorders>
            <w:shd w:val="clear" w:color="auto" w:fill="auto"/>
            <w:vAlign w:val="center"/>
          </w:tcPr>
          <w:p>
            <w:pPr>
              <w:widowControl/>
              <w:jc w:val="center"/>
              <w:rPr>
                <w:kern w:val="0"/>
                <w:szCs w:val="21"/>
              </w:rPr>
            </w:pPr>
            <w:r>
              <w:rPr>
                <w:kern w:val="0"/>
                <w:szCs w:val="21"/>
              </w:rPr>
              <w:t>检验项目</w:t>
            </w:r>
          </w:p>
        </w:tc>
        <w:tc>
          <w:tcPr>
            <w:tcW w:w="3402" w:type="dxa"/>
            <w:tcBorders>
              <w:tl2br w:val="nil"/>
              <w:tr2bl w:val="nil"/>
            </w:tcBorders>
            <w:shd w:val="clear" w:color="auto" w:fill="auto"/>
            <w:vAlign w:val="center"/>
          </w:tcPr>
          <w:p>
            <w:pPr>
              <w:widowControl/>
              <w:jc w:val="center"/>
              <w:rPr>
                <w:kern w:val="0"/>
                <w:szCs w:val="21"/>
              </w:rPr>
            </w:pPr>
            <w:r>
              <w:rPr>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vAlign w:val="center"/>
          </w:tcPr>
          <w:p>
            <w:pPr>
              <w:widowControl/>
              <w:jc w:val="center"/>
              <w:rPr>
                <w:kern w:val="0"/>
                <w:szCs w:val="21"/>
              </w:rPr>
            </w:pPr>
            <w:r>
              <w:rPr>
                <w:kern w:val="0"/>
                <w:szCs w:val="21"/>
              </w:rPr>
              <w:t>氮</w:t>
            </w:r>
            <w:r>
              <w:rPr>
                <w:rFonts w:hint="eastAsia"/>
                <w:kern w:val="0"/>
                <w:szCs w:val="21"/>
              </w:rPr>
              <w:t>(</w:t>
            </w:r>
            <w:r>
              <w:rPr>
                <w:kern w:val="0"/>
                <w:szCs w:val="21"/>
              </w:rPr>
              <w:t>N)</w:t>
            </w:r>
            <w:r>
              <w:rPr>
                <w:rFonts w:hint="eastAsia"/>
                <w:kern w:val="0"/>
                <w:szCs w:val="21"/>
              </w:rPr>
              <w:t>的质量分数(以干基计</w:t>
            </w:r>
            <w:r>
              <w:rPr>
                <w:kern w:val="0"/>
                <w:szCs w:val="21"/>
              </w:rPr>
              <w:t>)</w:t>
            </w:r>
          </w:p>
        </w:tc>
        <w:tc>
          <w:tcPr>
            <w:tcW w:w="3402" w:type="dxa"/>
            <w:tcBorders>
              <w:tl2br w:val="nil"/>
              <w:tr2bl w:val="nil"/>
            </w:tcBorders>
            <w:shd w:val="clear" w:color="auto" w:fill="auto"/>
            <w:vAlign w:val="center"/>
          </w:tcPr>
          <w:p>
            <w:pPr>
              <w:jc w:val="center"/>
              <w:rPr>
                <w:kern w:val="0"/>
                <w:szCs w:val="21"/>
              </w:rPr>
            </w:pPr>
            <w:r>
              <w:rPr>
                <w:kern w:val="0"/>
                <w:szCs w:val="21"/>
              </w:rPr>
              <w:t>GB/T 2946-2018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vAlign w:val="center"/>
          </w:tcPr>
          <w:p>
            <w:pPr>
              <w:widowControl/>
              <w:jc w:val="center"/>
              <w:rPr>
                <w:kern w:val="0"/>
                <w:szCs w:val="21"/>
              </w:rPr>
            </w:pPr>
            <w:r>
              <w:rPr>
                <w:rFonts w:hint="eastAsia"/>
                <w:kern w:val="0"/>
                <w:szCs w:val="21"/>
              </w:rPr>
              <w:t>水的质量分数</w:t>
            </w:r>
            <w:r>
              <w:rPr>
                <w:rFonts w:hint="eastAsia"/>
                <w:kern w:val="0"/>
                <w:szCs w:val="21"/>
                <w:vertAlign w:val="superscript"/>
              </w:rPr>
              <w:t>a</w:t>
            </w:r>
          </w:p>
        </w:tc>
        <w:tc>
          <w:tcPr>
            <w:tcW w:w="3402" w:type="dxa"/>
            <w:tcBorders>
              <w:tl2br w:val="nil"/>
              <w:tr2bl w:val="nil"/>
            </w:tcBorders>
            <w:shd w:val="clear" w:color="auto" w:fill="auto"/>
            <w:vAlign w:val="center"/>
          </w:tcPr>
          <w:p>
            <w:pPr>
              <w:jc w:val="center"/>
              <w:rPr>
                <w:kern w:val="0"/>
                <w:szCs w:val="21"/>
              </w:rPr>
            </w:pPr>
            <w:r>
              <w:rPr>
                <w:rFonts w:hint="eastAsia"/>
                <w:kern w:val="0"/>
                <w:szCs w:val="21"/>
              </w:rPr>
              <w:t>G</w:t>
            </w:r>
            <w:r>
              <w:rPr>
                <w:kern w:val="0"/>
                <w:szCs w:val="21"/>
              </w:rPr>
              <w:t>B/T 8577-2010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vAlign w:val="center"/>
          </w:tcPr>
          <w:p>
            <w:pPr>
              <w:widowControl/>
              <w:jc w:val="center"/>
              <w:rPr>
                <w:kern w:val="0"/>
                <w:szCs w:val="21"/>
              </w:rPr>
            </w:pPr>
            <w:r>
              <w:rPr>
                <w:rFonts w:hint="eastAsia"/>
                <w:kern w:val="0"/>
                <w:szCs w:val="21"/>
              </w:rPr>
              <w:t>钠盐的质量分数(以Na计</w:t>
            </w:r>
            <w:r>
              <w:rPr>
                <w:kern w:val="0"/>
                <w:szCs w:val="21"/>
              </w:rPr>
              <w:t>)</w:t>
            </w:r>
            <w:r>
              <w:rPr>
                <w:rFonts w:hint="eastAsia"/>
                <w:color w:val="auto"/>
                <w:kern w:val="0"/>
                <w:szCs w:val="21"/>
                <w:vertAlign w:val="superscript"/>
              </w:rPr>
              <w:t>b</w:t>
            </w:r>
          </w:p>
        </w:tc>
        <w:tc>
          <w:tcPr>
            <w:tcW w:w="3402" w:type="dxa"/>
            <w:tcBorders>
              <w:tl2br w:val="nil"/>
              <w:tr2bl w:val="nil"/>
            </w:tcBorders>
            <w:shd w:val="clear" w:color="auto" w:fill="auto"/>
            <w:vAlign w:val="center"/>
          </w:tcPr>
          <w:p>
            <w:pPr>
              <w:jc w:val="center"/>
              <w:rPr>
                <w:kern w:val="0"/>
                <w:szCs w:val="21"/>
              </w:rPr>
            </w:pPr>
            <w:r>
              <w:rPr>
                <w:kern w:val="0"/>
                <w:szCs w:val="21"/>
              </w:rPr>
              <w:t>GB/T 2946-2018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vAlign w:val="center"/>
          </w:tcPr>
          <w:p>
            <w:pPr>
              <w:widowControl/>
              <w:jc w:val="center"/>
              <w:rPr>
                <w:kern w:val="0"/>
                <w:szCs w:val="21"/>
              </w:rPr>
            </w:pPr>
            <w:r>
              <w:rPr>
                <w:kern w:val="0"/>
                <w:szCs w:val="21"/>
              </w:rPr>
              <w:t>粒度</w:t>
            </w:r>
            <w:r>
              <w:rPr>
                <w:rFonts w:hint="eastAsia"/>
                <w:kern w:val="0"/>
                <w:szCs w:val="21"/>
              </w:rPr>
              <w:t>(</w:t>
            </w:r>
            <w:r>
              <w:rPr>
                <w:kern w:val="0"/>
                <w:szCs w:val="21"/>
              </w:rPr>
              <w:t>2.00</w:t>
            </w:r>
            <w:r>
              <w:rPr>
                <w:rFonts w:hint="eastAsia"/>
                <w:kern w:val="0"/>
                <w:szCs w:val="21"/>
              </w:rPr>
              <w:t>mm~</w:t>
            </w:r>
            <w:r>
              <w:rPr>
                <w:kern w:val="0"/>
                <w:szCs w:val="21"/>
              </w:rPr>
              <w:t>4.75</w:t>
            </w:r>
            <w:r>
              <w:rPr>
                <w:rFonts w:hint="eastAsia"/>
                <w:kern w:val="0"/>
                <w:szCs w:val="21"/>
              </w:rPr>
              <w:t>mm)</w:t>
            </w:r>
          </w:p>
        </w:tc>
        <w:tc>
          <w:tcPr>
            <w:tcW w:w="3402" w:type="dxa"/>
            <w:tcBorders>
              <w:tl2br w:val="nil"/>
              <w:tr2bl w:val="nil"/>
            </w:tcBorders>
            <w:shd w:val="clear" w:color="auto" w:fill="auto"/>
            <w:vAlign w:val="center"/>
          </w:tcPr>
          <w:p>
            <w:pPr>
              <w:jc w:val="center"/>
              <w:rPr>
                <w:kern w:val="0"/>
                <w:szCs w:val="21"/>
              </w:rPr>
            </w:pPr>
            <w:r>
              <w:rPr>
                <w:rFonts w:hint="eastAsia"/>
                <w:kern w:val="0"/>
                <w:szCs w:val="21"/>
              </w:rPr>
              <w:t>G</w:t>
            </w:r>
            <w:r>
              <w:rPr>
                <w:kern w:val="0"/>
                <w:szCs w:val="21"/>
              </w:rPr>
              <w:t>B/T 10209.4-2010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vAlign w:val="center"/>
          </w:tcPr>
          <w:p>
            <w:pPr>
              <w:widowControl/>
              <w:jc w:val="center"/>
              <w:rPr>
                <w:kern w:val="0"/>
                <w:szCs w:val="21"/>
              </w:rPr>
            </w:pPr>
            <w:r>
              <w:rPr>
                <w:rFonts w:hint="eastAsia"/>
                <w:kern w:val="0"/>
                <w:szCs w:val="21"/>
              </w:rPr>
              <w:t>颗粒平均抗压碎力</w:t>
            </w:r>
          </w:p>
        </w:tc>
        <w:tc>
          <w:tcPr>
            <w:tcW w:w="3402" w:type="dxa"/>
            <w:tcBorders>
              <w:tl2br w:val="nil"/>
              <w:tr2bl w:val="nil"/>
            </w:tcBorders>
            <w:shd w:val="clear" w:color="auto" w:fill="auto"/>
            <w:vAlign w:val="center"/>
          </w:tcPr>
          <w:p>
            <w:pPr>
              <w:jc w:val="center"/>
              <w:rPr>
                <w:kern w:val="0"/>
                <w:szCs w:val="21"/>
              </w:rPr>
            </w:pPr>
            <w:r>
              <w:rPr>
                <w:kern w:val="0"/>
                <w:szCs w:val="21"/>
              </w:rPr>
              <w:t>GB/T 2946-2018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noWrap/>
            <w:vAlign w:val="center"/>
          </w:tcPr>
          <w:p>
            <w:pPr>
              <w:widowControl/>
              <w:jc w:val="center"/>
              <w:rPr>
                <w:kern w:val="0"/>
                <w:szCs w:val="21"/>
              </w:rPr>
            </w:pPr>
            <w:r>
              <w:rPr>
                <w:kern w:val="0"/>
                <w:szCs w:val="21"/>
              </w:rPr>
              <w:t>总砷</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noWrap/>
            <w:vAlign w:val="center"/>
          </w:tcPr>
          <w:p>
            <w:pPr>
              <w:widowControl/>
              <w:jc w:val="center"/>
              <w:rPr>
                <w:kern w:val="0"/>
                <w:szCs w:val="21"/>
              </w:rPr>
            </w:pPr>
            <w:r>
              <w:rPr>
                <w:kern w:val="0"/>
                <w:szCs w:val="21"/>
              </w:rPr>
              <w:t>总镉</w:t>
            </w:r>
            <w:bookmarkStart w:id="1" w:name="_GoBack"/>
            <w:bookmarkEnd w:id="1"/>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noWrap/>
            <w:vAlign w:val="center"/>
          </w:tcPr>
          <w:p>
            <w:pPr>
              <w:widowControl/>
              <w:jc w:val="center"/>
              <w:rPr>
                <w:kern w:val="0"/>
                <w:szCs w:val="21"/>
              </w:rPr>
            </w:pPr>
            <w:r>
              <w:rPr>
                <w:kern w:val="0"/>
                <w:szCs w:val="21"/>
              </w:rPr>
              <w:t>总铅</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noWrap/>
            <w:vAlign w:val="center"/>
          </w:tcPr>
          <w:p>
            <w:pPr>
              <w:widowControl/>
              <w:jc w:val="center"/>
              <w:rPr>
                <w:kern w:val="0"/>
                <w:szCs w:val="21"/>
              </w:rPr>
            </w:pPr>
            <w:r>
              <w:rPr>
                <w:kern w:val="0"/>
                <w:szCs w:val="21"/>
              </w:rPr>
              <w:t>总铬</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noWrap/>
            <w:vAlign w:val="center"/>
          </w:tcPr>
          <w:p>
            <w:pPr>
              <w:widowControl/>
              <w:jc w:val="center"/>
              <w:rPr>
                <w:kern w:val="0"/>
                <w:szCs w:val="21"/>
              </w:rPr>
            </w:pPr>
            <w:r>
              <w:rPr>
                <w:kern w:val="0"/>
                <w:szCs w:val="21"/>
              </w:rPr>
              <w:t>总汞</w:t>
            </w:r>
          </w:p>
        </w:tc>
        <w:tc>
          <w:tcPr>
            <w:tcW w:w="3402"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noWrap/>
            <w:vAlign w:val="center"/>
          </w:tcPr>
          <w:p>
            <w:pPr>
              <w:widowControl/>
              <w:jc w:val="center"/>
              <w:rPr>
                <w:kern w:val="0"/>
                <w:szCs w:val="21"/>
              </w:rPr>
            </w:pPr>
            <w:r>
              <w:rPr>
                <w:kern w:val="0"/>
                <w:szCs w:val="21"/>
              </w:rPr>
              <w:t>总铊</w:t>
            </w:r>
          </w:p>
        </w:tc>
        <w:tc>
          <w:tcPr>
            <w:tcW w:w="3402" w:type="dxa"/>
            <w:tcBorders>
              <w:tl2br w:val="nil"/>
              <w:tr2bl w:val="nil"/>
            </w:tcBorders>
            <w:shd w:val="clear" w:color="auto" w:fill="auto"/>
            <w:vAlign w:val="center"/>
          </w:tcPr>
          <w:p>
            <w:pPr>
              <w:widowControl/>
              <w:jc w:val="center"/>
              <w:rPr>
                <w:kern w:val="0"/>
                <w:szCs w:val="21"/>
              </w:rPr>
            </w:pPr>
            <w:r>
              <w:rPr>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99" w:type="dxa"/>
            <w:tcBorders>
              <w:tl2br w:val="nil"/>
              <w:tr2bl w:val="nil"/>
            </w:tcBorders>
            <w:shd w:val="clear" w:color="auto" w:fill="auto"/>
            <w:vAlign w:val="center"/>
          </w:tcPr>
          <w:p>
            <w:pPr>
              <w:pStyle w:val="17"/>
              <w:widowControl/>
              <w:numPr>
                <w:ilvl w:val="0"/>
                <w:numId w:val="2"/>
              </w:numPr>
              <w:ind w:firstLineChars="0"/>
              <w:jc w:val="center"/>
              <w:rPr>
                <w:rFonts w:ascii="Times New Roman" w:hAnsi="Times New Roman" w:eastAsia="宋体"/>
                <w:kern w:val="0"/>
                <w:szCs w:val="21"/>
              </w:rPr>
            </w:pPr>
          </w:p>
        </w:tc>
        <w:tc>
          <w:tcPr>
            <w:tcW w:w="4707" w:type="dxa"/>
            <w:tcBorders>
              <w:tl2br w:val="nil"/>
              <w:tr2bl w:val="nil"/>
            </w:tcBorders>
            <w:shd w:val="clear" w:color="auto" w:fill="auto"/>
            <w:vAlign w:val="center"/>
          </w:tcPr>
          <w:p>
            <w:pPr>
              <w:widowControl/>
              <w:jc w:val="center"/>
              <w:rPr>
                <w:kern w:val="0"/>
                <w:szCs w:val="21"/>
              </w:rPr>
            </w:pPr>
            <w:r>
              <w:rPr>
                <w:kern w:val="0"/>
                <w:szCs w:val="21"/>
              </w:rPr>
              <w:t>包装标识（养分含量、名称中的禁用语</w:t>
            </w:r>
            <w:r>
              <w:rPr>
                <w:rFonts w:hint="eastAsia"/>
                <w:kern w:val="0"/>
                <w:szCs w:val="21"/>
              </w:rPr>
              <w:t>等内容</w:t>
            </w:r>
            <w:r>
              <w:rPr>
                <w:kern w:val="0"/>
                <w:szCs w:val="21"/>
              </w:rPr>
              <w:t>）</w:t>
            </w:r>
          </w:p>
        </w:tc>
        <w:tc>
          <w:tcPr>
            <w:tcW w:w="3402" w:type="dxa"/>
            <w:tcBorders>
              <w:tl2br w:val="nil"/>
              <w:tr2bl w:val="nil"/>
            </w:tcBorders>
            <w:shd w:val="clear" w:color="auto" w:fill="auto"/>
            <w:vAlign w:val="center"/>
          </w:tcPr>
          <w:p>
            <w:pPr>
              <w:widowControl/>
              <w:jc w:val="center"/>
              <w:rPr>
                <w:kern w:val="0"/>
                <w:szCs w:val="21"/>
              </w:rPr>
            </w:pPr>
            <w:r>
              <w:rPr>
                <w:kern w:val="0"/>
                <w:szCs w:val="21"/>
              </w:rPr>
              <w:t>GB 18382-2021</w:t>
            </w:r>
          </w:p>
          <w:p>
            <w:pPr>
              <w:jc w:val="center"/>
              <w:rPr>
                <w:kern w:val="0"/>
                <w:szCs w:val="21"/>
              </w:rPr>
            </w:pPr>
            <w:r>
              <w:rPr>
                <w:kern w:val="0"/>
                <w:szCs w:val="21"/>
              </w:rPr>
              <w:t>GB/T 2946</w:t>
            </w:r>
            <w:r>
              <w:rPr>
                <w:rFonts w:hint="eastAsia"/>
                <w:kern w:val="0"/>
                <w:szCs w:val="21"/>
              </w:rPr>
              <w:t>-</w:t>
            </w:r>
            <w:r>
              <w:rPr>
                <w:kern w:val="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808" w:type="dxa"/>
            <w:gridSpan w:val="3"/>
            <w:tcBorders>
              <w:tl2br w:val="nil"/>
              <w:tr2bl w:val="nil"/>
            </w:tcBorders>
            <w:shd w:val="clear" w:color="auto" w:fill="auto"/>
            <w:vAlign w:val="center"/>
          </w:tcPr>
          <w:p>
            <w:pPr>
              <w:rPr>
                <w:kern w:val="0"/>
                <w:szCs w:val="21"/>
              </w:rPr>
            </w:pPr>
            <w:r>
              <w:rPr>
                <w:rFonts w:hint="eastAsia"/>
                <w:kern w:val="0"/>
                <w:szCs w:val="21"/>
                <w:vertAlign w:val="superscript"/>
              </w:rPr>
              <w:t xml:space="preserve">a  </w:t>
            </w:r>
            <w:r>
              <w:rPr>
                <w:rFonts w:hint="eastAsia"/>
                <w:kern w:val="0"/>
                <w:szCs w:val="21"/>
              </w:rPr>
              <w:t>水的质量分数仅在生产企业检验和生产领域质量抽查检验时进行判定。</w:t>
            </w:r>
          </w:p>
          <w:p>
            <w:pPr>
              <w:rPr>
                <w:kern w:val="0"/>
                <w:szCs w:val="21"/>
              </w:rPr>
            </w:pPr>
            <w:r>
              <w:rPr>
                <w:rFonts w:hint="eastAsia"/>
                <w:kern w:val="0"/>
                <w:szCs w:val="21"/>
              </w:rPr>
              <w:t>b钠盐的质量分数以干基计。</w:t>
            </w:r>
          </w:p>
          <w:p>
            <w:pPr>
              <w:rPr>
                <w:color w:val="FF0000"/>
                <w:kern w:val="0"/>
                <w:szCs w:val="21"/>
              </w:rPr>
            </w:pPr>
            <w:r>
              <w:rPr>
                <w:rFonts w:hint="eastAsia"/>
                <w:kern w:val="0"/>
                <w:szCs w:val="21"/>
              </w:rPr>
              <w:t>c结晶状产品无粒度和颗粒平均抗压碎力要求。</w:t>
            </w:r>
          </w:p>
        </w:tc>
      </w:tr>
    </w:tbl>
    <w:p>
      <w:pPr>
        <w:adjustRightInd w:val="0"/>
        <w:snapToGrid w:val="0"/>
        <w:spacing w:line="440" w:lineRule="exact"/>
        <w:jc w:val="center"/>
        <w:rPr>
          <w:bCs/>
          <w:szCs w:val="21"/>
        </w:rPr>
      </w:pPr>
    </w:p>
    <w:p>
      <w:pPr>
        <w:adjustRightInd w:val="0"/>
        <w:snapToGrid w:val="0"/>
        <w:spacing w:line="440" w:lineRule="exact"/>
        <w:jc w:val="center"/>
        <w:rPr>
          <w:bCs/>
          <w:szCs w:val="21"/>
        </w:rPr>
      </w:pPr>
      <w:r>
        <w:rPr>
          <w:bCs/>
          <w:szCs w:val="21"/>
        </w:rPr>
        <w:t>表</w:t>
      </w:r>
      <w:r>
        <w:rPr>
          <w:rFonts w:hint="eastAsia"/>
          <w:bCs/>
          <w:szCs w:val="21"/>
        </w:rPr>
        <w:t>3肥料级硫酸铵</w:t>
      </w:r>
    </w:p>
    <w:tbl>
      <w:tblPr>
        <w:tblStyle w:val="8"/>
        <w:tblW w:w="4911"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772"/>
        <w:gridCol w:w="3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403" w:type="pct"/>
            <w:tcBorders>
              <w:tl2br w:val="nil"/>
              <w:tr2bl w:val="nil"/>
            </w:tcBorders>
            <w:shd w:val="clear" w:color="auto" w:fill="auto"/>
            <w:vAlign w:val="center"/>
          </w:tcPr>
          <w:p>
            <w:pPr>
              <w:widowControl/>
              <w:jc w:val="center"/>
              <w:rPr>
                <w:kern w:val="0"/>
                <w:szCs w:val="21"/>
              </w:rPr>
            </w:pPr>
            <w:r>
              <w:rPr>
                <w:kern w:val="0"/>
                <w:szCs w:val="21"/>
              </w:rPr>
              <w:t>序号</w:t>
            </w:r>
          </w:p>
        </w:tc>
        <w:tc>
          <w:tcPr>
            <w:tcW w:w="2648" w:type="pct"/>
            <w:tcBorders>
              <w:tl2br w:val="nil"/>
              <w:tr2bl w:val="nil"/>
            </w:tcBorders>
            <w:shd w:val="clear" w:color="auto" w:fill="auto"/>
            <w:vAlign w:val="center"/>
          </w:tcPr>
          <w:p>
            <w:pPr>
              <w:widowControl/>
              <w:jc w:val="center"/>
              <w:rPr>
                <w:kern w:val="0"/>
                <w:szCs w:val="21"/>
              </w:rPr>
            </w:pPr>
            <w:r>
              <w:rPr>
                <w:kern w:val="0"/>
                <w:szCs w:val="21"/>
              </w:rPr>
              <w:t>检验项目</w:t>
            </w:r>
          </w:p>
        </w:tc>
        <w:tc>
          <w:tcPr>
            <w:tcW w:w="1949" w:type="pct"/>
            <w:tcBorders>
              <w:tl2br w:val="nil"/>
              <w:tr2bl w:val="nil"/>
            </w:tcBorders>
            <w:shd w:val="clear" w:color="auto" w:fill="auto"/>
            <w:vAlign w:val="center"/>
          </w:tcPr>
          <w:p>
            <w:pPr>
              <w:widowControl/>
              <w:jc w:val="center"/>
              <w:rPr>
                <w:kern w:val="0"/>
                <w:szCs w:val="21"/>
              </w:rPr>
            </w:pPr>
            <w:r>
              <w:rPr>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kern w:val="0"/>
                <w:szCs w:val="21"/>
              </w:rPr>
              <w:t>氮(N</w:t>
            </w:r>
            <w:r>
              <w:rPr>
                <w:rFonts w:hint="eastAsia"/>
                <w:kern w:val="0"/>
                <w:szCs w:val="21"/>
              </w:rPr>
              <w:t>)</w:t>
            </w:r>
          </w:p>
        </w:tc>
        <w:tc>
          <w:tcPr>
            <w:tcW w:w="1949" w:type="pct"/>
            <w:tcBorders>
              <w:tl2br w:val="nil"/>
              <w:tr2bl w:val="nil"/>
            </w:tcBorders>
            <w:shd w:val="clear" w:color="auto" w:fill="auto"/>
            <w:vAlign w:val="center"/>
          </w:tcPr>
          <w:p>
            <w:pPr>
              <w:jc w:val="center"/>
              <w:rPr>
                <w:kern w:val="0"/>
                <w:szCs w:val="21"/>
              </w:rPr>
            </w:pPr>
            <w:r>
              <w:rPr>
                <w:kern w:val="0"/>
                <w:szCs w:val="21"/>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kern w:val="0"/>
                <w:szCs w:val="21"/>
              </w:rPr>
              <w:t>硫(</w:t>
            </w:r>
            <w:r>
              <w:rPr>
                <w:kern w:val="0"/>
                <w:szCs w:val="21"/>
              </w:rPr>
              <w:t>S)</w:t>
            </w:r>
          </w:p>
        </w:tc>
        <w:tc>
          <w:tcPr>
            <w:tcW w:w="1949" w:type="pct"/>
            <w:tcBorders>
              <w:tl2br w:val="nil"/>
              <w:tr2bl w:val="nil"/>
            </w:tcBorders>
            <w:shd w:val="clear" w:color="auto" w:fill="auto"/>
            <w:vAlign w:val="center"/>
          </w:tcPr>
          <w:p>
            <w:pPr>
              <w:jc w:val="center"/>
              <w:rPr>
                <w:kern w:val="0"/>
                <w:szCs w:val="21"/>
              </w:rPr>
            </w:pPr>
            <w:r>
              <w:rPr>
                <w:bCs/>
                <w:szCs w:val="21"/>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kern w:val="0"/>
                <w:szCs w:val="21"/>
              </w:rPr>
              <w:t>游离酸(</w:t>
            </w:r>
            <w:r>
              <w:rPr>
                <w:kern w:val="0"/>
                <w:szCs w:val="21"/>
              </w:rPr>
              <w:t>H</w:t>
            </w:r>
            <w:r>
              <w:rPr>
                <w:kern w:val="0"/>
                <w:szCs w:val="21"/>
                <w:vertAlign w:val="subscript"/>
              </w:rPr>
              <w:t>2</w:t>
            </w:r>
            <w:r>
              <w:rPr>
                <w:kern w:val="0"/>
                <w:szCs w:val="21"/>
              </w:rPr>
              <w:t>SO</w:t>
            </w:r>
            <w:r>
              <w:rPr>
                <w:kern w:val="0"/>
                <w:szCs w:val="21"/>
                <w:vertAlign w:val="subscript"/>
              </w:rPr>
              <w:t>4</w:t>
            </w:r>
            <w:r>
              <w:rPr>
                <w:kern w:val="0"/>
                <w:szCs w:val="21"/>
              </w:rPr>
              <w:t>)</w:t>
            </w:r>
          </w:p>
        </w:tc>
        <w:tc>
          <w:tcPr>
            <w:tcW w:w="1949" w:type="pct"/>
            <w:tcBorders>
              <w:tl2br w:val="nil"/>
              <w:tr2bl w:val="nil"/>
            </w:tcBorders>
            <w:shd w:val="clear" w:color="auto" w:fill="auto"/>
            <w:vAlign w:val="center"/>
          </w:tcPr>
          <w:p>
            <w:pPr>
              <w:widowControl/>
              <w:jc w:val="center"/>
              <w:rPr>
                <w:kern w:val="0"/>
                <w:szCs w:val="21"/>
              </w:rPr>
            </w:pPr>
            <w:r>
              <w:rPr>
                <w:kern w:val="0"/>
                <w:szCs w:val="21"/>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kern w:val="0"/>
                <w:szCs w:val="21"/>
              </w:rPr>
              <w:t>水分(</w:t>
            </w:r>
            <w:r>
              <w:rPr>
                <w:kern w:val="0"/>
                <w:szCs w:val="21"/>
              </w:rPr>
              <w:t>H</w:t>
            </w:r>
            <w:r>
              <w:rPr>
                <w:kern w:val="0"/>
                <w:szCs w:val="21"/>
                <w:vertAlign w:val="subscript"/>
              </w:rPr>
              <w:t>2</w:t>
            </w:r>
            <w:r>
              <w:rPr>
                <w:kern w:val="0"/>
                <w:szCs w:val="21"/>
              </w:rPr>
              <w:t>O)</w:t>
            </w:r>
          </w:p>
        </w:tc>
        <w:tc>
          <w:tcPr>
            <w:tcW w:w="1949" w:type="pct"/>
            <w:tcBorders>
              <w:tl2br w:val="nil"/>
              <w:tr2bl w:val="nil"/>
            </w:tcBorders>
            <w:shd w:val="clear" w:color="auto" w:fill="auto"/>
            <w:vAlign w:val="center"/>
          </w:tcPr>
          <w:p>
            <w:pPr>
              <w:widowControl/>
              <w:jc w:val="center"/>
              <w:rPr>
                <w:kern w:val="0"/>
                <w:szCs w:val="21"/>
              </w:rPr>
            </w:pPr>
            <w:r>
              <w:rPr>
                <w:kern w:val="0"/>
                <w:szCs w:val="21"/>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kern w:val="0"/>
                <w:szCs w:val="21"/>
              </w:rPr>
              <w:t>水不溶物</w:t>
            </w:r>
          </w:p>
        </w:tc>
        <w:tc>
          <w:tcPr>
            <w:tcW w:w="1949" w:type="pct"/>
            <w:tcBorders>
              <w:tl2br w:val="nil"/>
              <w:tr2bl w:val="nil"/>
            </w:tcBorders>
            <w:shd w:val="clear" w:color="auto" w:fill="auto"/>
            <w:vAlign w:val="center"/>
          </w:tcPr>
          <w:p>
            <w:pPr>
              <w:widowControl/>
              <w:jc w:val="center"/>
              <w:rPr>
                <w:kern w:val="0"/>
                <w:szCs w:val="21"/>
              </w:rPr>
            </w:pPr>
            <w:r>
              <w:rPr>
                <w:kern w:val="0"/>
                <w:szCs w:val="21"/>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ascii="宋体" w:hAnsi="宋体"/>
                <w:bCs/>
                <w:szCs w:val="21"/>
              </w:rPr>
              <w:t>氯离子(</w:t>
            </w:r>
            <w:r>
              <w:rPr>
                <w:rFonts w:ascii="宋体" w:hAnsi="宋体"/>
                <w:bCs/>
                <w:szCs w:val="21"/>
              </w:rPr>
              <w:t>Cl</w:t>
            </w:r>
            <w:r>
              <w:rPr>
                <w:rFonts w:ascii="宋体" w:hAnsi="宋体"/>
                <w:bCs/>
                <w:szCs w:val="21"/>
                <w:vertAlign w:val="superscript"/>
              </w:rPr>
              <w:t>-</w:t>
            </w:r>
            <w:r>
              <w:rPr>
                <w:rFonts w:ascii="宋体" w:hAnsi="宋体"/>
                <w:bCs/>
                <w:szCs w:val="21"/>
              </w:rPr>
              <w:t>)</w:t>
            </w:r>
          </w:p>
        </w:tc>
        <w:tc>
          <w:tcPr>
            <w:tcW w:w="1949" w:type="pct"/>
            <w:tcBorders>
              <w:tl2br w:val="nil"/>
              <w:tr2bl w:val="nil"/>
            </w:tcBorders>
            <w:shd w:val="clear" w:color="auto" w:fill="auto"/>
            <w:vAlign w:val="center"/>
          </w:tcPr>
          <w:p>
            <w:pPr>
              <w:widowControl/>
              <w:jc w:val="center"/>
              <w:rPr>
                <w:kern w:val="0"/>
                <w:szCs w:val="21"/>
                <w:lang w:bidi="ar"/>
              </w:rPr>
            </w:pPr>
            <w:r>
              <w:rPr>
                <w:kern w:val="0"/>
                <w:szCs w:val="21"/>
                <w:lang w:bidi="ar"/>
              </w:rPr>
              <w:t>GB/T 24890-2010</w:t>
            </w:r>
            <w:r>
              <w:rPr>
                <w:rFonts w:hint="eastAsia"/>
                <w:kern w:val="0"/>
                <w:szCs w:val="21"/>
                <w:lang w:bidi="ar"/>
              </w:rPr>
              <w:t xml:space="preserve">            </w:t>
            </w:r>
            <w:r>
              <w:rPr>
                <w:rFonts w:hint="eastAsia"/>
                <w:bCs/>
                <w:szCs w:val="21"/>
              </w:rPr>
              <w:t xml:space="preserve"> </w:t>
            </w:r>
            <w:r>
              <w:rPr>
                <w:kern w:val="0"/>
                <w:szCs w:val="21"/>
                <w:lang w:bidi="ar"/>
              </w:rPr>
              <w:t>NY/T 1117-2010</w:t>
            </w:r>
          </w:p>
          <w:p>
            <w:pPr>
              <w:widowControl/>
              <w:jc w:val="center"/>
              <w:rPr>
                <w:kern w:val="0"/>
                <w:szCs w:val="21"/>
                <w:lang w:bidi="ar"/>
              </w:rPr>
            </w:pPr>
            <w:r>
              <w:rPr>
                <w:bCs/>
                <w:szCs w:val="21"/>
              </w:rPr>
              <w:t>GB/T 29400-2012</w:t>
            </w:r>
          </w:p>
          <w:p>
            <w:pPr>
              <w:widowControl/>
              <w:jc w:val="center"/>
              <w:rPr>
                <w:bCs/>
                <w:szCs w:val="21"/>
              </w:rPr>
            </w:pPr>
            <w:r>
              <w:rPr>
                <w:kern w:val="0"/>
                <w:szCs w:val="21"/>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ascii="宋体" w:hAnsi="宋体"/>
                <w:bCs/>
                <w:szCs w:val="21"/>
              </w:rPr>
              <w:t>氟化物(以F计</w:t>
            </w:r>
            <w:r>
              <w:rPr>
                <w:rFonts w:ascii="宋体" w:hAnsi="宋体"/>
                <w:bCs/>
                <w:szCs w:val="21"/>
              </w:rPr>
              <w:t>)</w:t>
            </w:r>
          </w:p>
        </w:tc>
        <w:tc>
          <w:tcPr>
            <w:tcW w:w="1949" w:type="pct"/>
            <w:tcBorders>
              <w:tl2br w:val="nil"/>
              <w:tr2bl w:val="nil"/>
            </w:tcBorders>
            <w:shd w:val="clear" w:color="auto" w:fill="auto"/>
            <w:vAlign w:val="center"/>
          </w:tcPr>
          <w:p>
            <w:pPr>
              <w:jc w:val="center"/>
              <w:rPr>
                <w:kern w:val="0"/>
                <w:szCs w:val="21"/>
              </w:rPr>
            </w:pPr>
            <w:r>
              <w:rPr>
                <w:rFonts w:hint="eastAsia"/>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ascii="宋体" w:hAnsi="宋体"/>
                <w:bCs/>
                <w:szCs w:val="21"/>
              </w:rPr>
              <w:t>硫氰酸根离子</w:t>
            </w:r>
          </w:p>
        </w:tc>
        <w:tc>
          <w:tcPr>
            <w:tcW w:w="1949" w:type="pct"/>
            <w:tcBorders>
              <w:tl2br w:val="nil"/>
              <w:tr2bl w:val="nil"/>
            </w:tcBorders>
            <w:shd w:val="clear" w:color="auto" w:fill="auto"/>
            <w:vAlign w:val="center"/>
          </w:tcPr>
          <w:p>
            <w:pPr>
              <w:widowControl/>
              <w:jc w:val="center"/>
              <w:rPr>
                <w:kern w:val="0"/>
                <w:szCs w:val="21"/>
              </w:rPr>
            </w:pPr>
            <w:r>
              <w:rPr>
                <w:rFonts w:hint="eastAsia"/>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bCs/>
                <w:szCs w:val="21"/>
              </w:rPr>
              <w:t>汞</w:t>
            </w:r>
            <w:r>
              <w:rPr>
                <w:rFonts w:hint="eastAsia"/>
                <w:bCs/>
                <w:szCs w:val="21"/>
              </w:rPr>
              <w:t>(</w:t>
            </w:r>
            <w:r>
              <w:rPr>
                <w:bCs/>
                <w:szCs w:val="21"/>
              </w:rPr>
              <w:t>Hg) (以元素计)</w:t>
            </w:r>
          </w:p>
        </w:tc>
        <w:tc>
          <w:tcPr>
            <w:tcW w:w="1949" w:type="pct"/>
            <w:tcBorders>
              <w:tl2br w:val="nil"/>
              <w:tr2bl w:val="nil"/>
            </w:tcBorders>
            <w:shd w:val="clear" w:color="auto" w:fill="auto"/>
            <w:vAlign w:val="center"/>
          </w:tcPr>
          <w:p>
            <w:pPr>
              <w:widowControl/>
              <w:jc w:val="center"/>
              <w:rPr>
                <w:kern w:val="0"/>
                <w:szCs w:val="21"/>
              </w:rPr>
            </w:pPr>
            <w:r>
              <w:t>NY/T 1978-20</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bCs/>
                <w:szCs w:val="21"/>
              </w:rPr>
              <w:t>砷</w:t>
            </w:r>
            <w:r>
              <w:rPr>
                <w:rFonts w:hint="eastAsia"/>
                <w:bCs/>
                <w:szCs w:val="21"/>
              </w:rPr>
              <w:t>(</w:t>
            </w:r>
            <w:r>
              <w:rPr>
                <w:bCs/>
                <w:szCs w:val="21"/>
              </w:rPr>
              <w:t>As</w:t>
            </w:r>
            <w:r>
              <w:rPr>
                <w:rFonts w:hint="eastAsia"/>
                <w:bCs/>
                <w:szCs w:val="21"/>
              </w:rPr>
              <w:t>)</w:t>
            </w:r>
            <w:r>
              <w:rPr>
                <w:bCs/>
                <w:szCs w:val="21"/>
              </w:rPr>
              <w:t xml:space="preserve"> (以元素计)</w:t>
            </w:r>
          </w:p>
        </w:tc>
        <w:tc>
          <w:tcPr>
            <w:tcW w:w="1949" w:type="pct"/>
            <w:tcBorders>
              <w:tl2br w:val="nil"/>
              <w:tr2bl w:val="nil"/>
            </w:tcBorders>
            <w:shd w:val="clear" w:color="auto" w:fill="auto"/>
            <w:vAlign w:val="center"/>
          </w:tcPr>
          <w:p>
            <w:pPr>
              <w:widowControl/>
              <w:jc w:val="center"/>
              <w:rPr>
                <w:kern w:val="0"/>
                <w:szCs w:val="21"/>
              </w:rPr>
            </w:pPr>
            <w:r>
              <w:t>NY/T 1978-20</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bCs/>
                <w:szCs w:val="21"/>
              </w:rPr>
              <w:t>镉</w:t>
            </w:r>
            <w:r>
              <w:rPr>
                <w:rFonts w:hint="eastAsia"/>
                <w:bCs/>
                <w:szCs w:val="21"/>
              </w:rPr>
              <w:t>(</w:t>
            </w:r>
            <w:r>
              <w:rPr>
                <w:bCs/>
                <w:szCs w:val="21"/>
              </w:rPr>
              <w:t>Cd</w:t>
            </w:r>
            <w:r>
              <w:rPr>
                <w:rFonts w:hint="eastAsia"/>
                <w:bCs/>
                <w:szCs w:val="21"/>
              </w:rPr>
              <w:t>)</w:t>
            </w:r>
            <w:r>
              <w:rPr>
                <w:bCs/>
                <w:szCs w:val="21"/>
              </w:rPr>
              <w:t xml:space="preserve"> (以元素计)</w:t>
            </w:r>
          </w:p>
        </w:tc>
        <w:tc>
          <w:tcPr>
            <w:tcW w:w="1949" w:type="pct"/>
            <w:tcBorders>
              <w:tl2br w:val="nil"/>
              <w:tr2bl w:val="nil"/>
            </w:tcBorders>
            <w:shd w:val="clear" w:color="auto" w:fill="auto"/>
            <w:vAlign w:val="center"/>
          </w:tcPr>
          <w:p>
            <w:pPr>
              <w:widowControl/>
              <w:jc w:val="center"/>
              <w:rPr>
                <w:kern w:val="0"/>
                <w:szCs w:val="21"/>
              </w:rPr>
            </w:pPr>
            <w:r>
              <w:t>NY/T 1978-20</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bCs/>
                <w:szCs w:val="21"/>
              </w:rPr>
              <w:t>铅</w:t>
            </w:r>
            <w:r>
              <w:rPr>
                <w:rFonts w:hint="eastAsia"/>
                <w:bCs/>
                <w:szCs w:val="21"/>
              </w:rPr>
              <w:t>(</w:t>
            </w:r>
            <w:r>
              <w:rPr>
                <w:bCs/>
                <w:szCs w:val="21"/>
              </w:rPr>
              <w:t>Pb</w:t>
            </w:r>
            <w:r>
              <w:rPr>
                <w:rFonts w:hint="eastAsia"/>
                <w:bCs/>
                <w:szCs w:val="21"/>
              </w:rPr>
              <w:t>)</w:t>
            </w:r>
            <w:r>
              <w:rPr>
                <w:bCs/>
                <w:szCs w:val="21"/>
              </w:rPr>
              <w:t xml:space="preserve"> (以元素计)</w:t>
            </w:r>
          </w:p>
        </w:tc>
        <w:tc>
          <w:tcPr>
            <w:tcW w:w="1949" w:type="pct"/>
            <w:tcBorders>
              <w:tl2br w:val="nil"/>
              <w:tr2bl w:val="nil"/>
            </w:tcBorders>
            <w:shd w:val="clear" w:color="auto" w:fill="auto"/>
            <w:vAlign w:val="center"/>
          </w:tcPr>
          <w:p>
            <w:pPr>
              <w:widowControl/>
              <w:jc w:val="center"/>
              <w:rPr>
                <w:kern w:val="0"/>
                <w:szCs w:val="21"/>
              </w:rPr>
            </w:pPr>
            <w:r>
              <w:t>NY/T 1978-20</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bCs/>
                <w:szCs w:val="21"/>
              </w:rPr>
              <w:t>铬</w:t>
            </w:r>
            <w:r>
              <w:rPr>
                <w:rFonts w:hint="eastAsia"/>
                <w:bCs/>
                <w:szCs w:val="21"/>
              </w:rPr>
              <w:t>(</w:t>
            </w:r>
            <w:r>
              <w:rPr>
                <w:bCs/>
                <w:szCs w:val="21"/>
              </w:rPr>
              <w:t>Cr</w:t>
            </w:r>
            <w:r>
              <w:rPr>
                <w:rFonts w:hint="eastAsia"/>
                <w:bCs/>
                <w:szCs w:val="21"/>
              </w:rPr>
              <w:t>)</w:t>
            </w:r>
            <w:r>
              <w:rPr>
                <w:bCs/>
                <w:szCs w:val="21"/>
              </w:rPr>
              <w:t xml:space="preserve"> (以元素计)</w:t>
            </w:r>
          </w:p>
        </w:tc>
        <w:tc>
          <w:tcPr>
            <w:tcW w:w="1949" w:type="pct"/>
            <w:tcBorders>
              <w:tl2br w:val="nil"/>
              <w:tr2bl w:val="nil"/>
            </w:tcBorders>
            <w:shd w:val="clear" w:color="auto" w:fill="auto"/>
            <w:vAlign w:val="center"/>
          </w:tcPr>
          <w:p>
            <w:pPr>
              <w:widowControl/>
              <w:jc w:val="center"/>
              <w:rPr>
                <w:kern w:val="0"/>
                <w:szCs w:val="21"/>
              </w:rPr>
            </w:pPr>
            <w:r>
              <w:t>NY/T 1978-20</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ascii="宋体" w:hAnsi="宋体"/>
                <w:bCs/>
                <w:szCs w:val="21"/>
              </w:rPr>
              <w:t>总铊</w:t>
            </w:r>
          </w:p>
        </w:tc>
        <w:tc>
          <w:tcPr>
            <w:tcW w:w="1949" w:type="pct"/>
            <w:tcBorders>
              <w:tl2br w:val="nil"/>
              <w:tr2bl w:val="nil"/>
            </w:tcBorders>
            <w:shd w:val="clear" w:color="auto" w:fill="auto"/>
            <w:vAlign w:val="center"/>
          </w:tcPr>
          <w:p>
            <w:pPr>
              <w:widowControl/>
              <w:jc w:val="center"/>
              <w:rPr>
                <w:kern w:val="0"/>
                <w:szCs w:val="21"/>
              </w:rPr>
            </w:pPr>
            <w:r>
              <w:rPr>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rFonts w:hint="eastAsia" w:ascii="宋体" w:hAnsi="宋体"/>
                <w:bCs/>
                <w:szCs w:val="21"/>
              </w:rPr>
              <w:t>多环芳烃总量</w:t>
            </w:r>
          </w:p>
        </w:tc>
        <w:tc>
          <w:tcPr>
            <w:tcW w:w="1949" w:type="pct"/>
            <w:tcBorders>
              <w:tl2br w:val="nil"/>
              <w:tr2bl w:val="nil"/>
            </w:tcBorders>
            <w:shd w:val="clear" w:color="auto" w:fill="auto"/>
            <w:vAlign w:val="center"/>
          </w:tcPr>
          <w:p>
            <w:pPr>
              <w:widowControl/>
              <w:jc w:val="center"/>
              <w:rPr>
                <w:kern w:val="0"/>
                <w:szCs w:val="21"/>
              </w:rPr>
            </w:pPr>
            <w:r>
              <w:rPr>
                <w:kern w:val="0"/>
                <w:szCs w:val="21"/>
              </w:rPr>
              <w:t>GB/T 32952-2016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3" w:type="pct"/>
            <w:tcBorders>
              <w:tl2br w:val="nil"/>
              <w:tr2bl w:val="nil"/>
            </w:tcBorders>
            <w:shd w:val="clear" w:color="auto" w:fill="auto"/>
            <w:vAlign w:val="center"/>
          </w:tcPr>
          <w:p>
            <w:pPr>
              <w:pStyle w:val="17"/>
              <w:widowControl/>
              <w:numPr>
                <w:ilvl w:val="0"/>
                <w:numId w:val="3"/>
              </w:numPr>
              <w:ind w:firstLineChars="0"/>
              <w:jc w:val="center"/>
              <w:rPr>
                <w:rFonts w:ascii="Times New Roman" w:hAnsi="Times New Roman" w:eastAsia="宋体"/>
                <w:kern w:val="0"/>
                <w:szCs w:val="21"/>
              </w:rPr>
            </w:pPr>
          </w:p>
        </w:tc>
        <w:tc>
          <w:tcPr>
            <w:tcW w:w="2648" w:type="pct"/>
            <w:tcBorders>
              <w:tl2br w:val="nil"/>
              <w:tr2bl w:val="nil"/>
            </w:tcBorders>
            <w:shd w:val="clear" w:color="auto" w:fill="auto"/>
            <w:vAlign w:val="center"/>
          </w:tcPr>
          <w:p>
            <w:pPr>
              <w:widowControl/>
              <w:jc w:val="center"/>
              <w:rPr>
                <w:kern w:val="0"/>
                <w:szCs w:val="21"/>
              </w:rPr>
            </w:pPr>
            <w:r>
              <w:rPr>
                <w:kern w:val="0"/>
                <w:szCs w:val="21"/>
              </w:rPr>
              <w:t>包装标识（养分含量、名称中的禁用语</w:t>
            </w:r>
            <w:r>
              <w:rPr>
                <w:rFonts w:hint="eastAsia"/>
                <w:kern w:val="0"/>
                <w:szCs w:val="21"/>
              </w:rPr>
              <w:t>等内容</w:t>
            </w:r>
            <w:r>
              <w:rPr>
                <w:kern w:val="0"/>
                <w:szCs w:val="21"/>
              </w:rPr>
              <w:t>）</w:t>
            </w:r>
          </w:p>
        </w:tc>
        <w:tc>
          <w:tcPr>
            <w:tcW w:w="1949" w:type="pct"/>
            <w:tcBorders>
              <w:tl2br w:val="nil"/>
              <w:tr2bl w:val="nil"/>
            </w:tcBorders>
            <w:shd w:val="clear" w:color="auto" w:fill="auto"/>
            <w:vAlign w:val="center"/>
          </w:tcPr>
          <w:p>
            <w:pPr>
              <w:widowControl/>
              <w:jc w:val="center"/>
              <w:rPr>
                <w:kern w:val="0"/>
                <w:szCs w:val="21"/>
              </w:rPr>
            </w:pPr>
            <w:r>
              <w:rPr>
                <w:kern w:val="0"/>
                <w:szCs w:val="21"/>
              </w:rPr>
              <w:t>GB 18382-2021</w:t>
            </w:r>
          </w:p>
          <w:p>
            <w:pPr>
              <w:jc w:val="center"/>
              <w:rPr>
                <w:kern w:val="0"/>
                <w:szCs w:val="21"/>
              </w:rPr>
            </w:pPr>
            <w:r>
              <w:rPr>
                <w:kern w:val="0"/>
                <w:szCs w:val="21"/>
              </w:rPr>
              <w:t>GB/T 535-2020</w:t>
            </w:r>
          </w:p>
        </w:tc>
      </w:tr>
    </w:tbl>
    <w:p>
      <w:pPr>
        <w:adjustRightInd w:val="0"/>
        <w:snapToGrid w:val="0"/>
        <w:spacing w:line="440" w:lineRule="exact"/>
        <w:ind w:firstLine="420" w:firstLineChars="200"/>
        <w:rPr>
          <w:szCs w:val="21"/>
        </w:rPr>
      </w:pPr>
    </w:p>
    <w:p>
      <w:pPr>
        <w:snapToGrid w:val="0"/>
        <w:spacing w:line="440" w:lineRule="exact"/>
        <w:jc w:val="center"/>
        <w:rPr>
          <w:rFonts w:ascii="宋体" w:hAnsi="宋体" w:cs="宋体"/>
          <w:bCs/>
          <w:szCs w:val="21"/>
        </w:rPr>
      </w:pPr>
      <w:r>
        <w:rPr>
          <w:rFonts w:hint="eastAsia" w:ascii="宋体" w:hAnsi="宋体" w:cs="宋体"/>
          <w:bCs/>
          <w:szCs w:val="21"/>
        </w:rPr>
        <w:t>表4 农业用碳酸氢铵</w:t>
      </w:r>
    </w:p>
    <w:tbl>
      <w:tblPr>
        <w:tblStyle w:val="9"/>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89"/>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9" w:type="dxa"/>
            <w:vMerge w:val="restart"/>
            <w:vAlign w:val="center"/>
          </w:tcPr>
          <w:p>
            <w:pPr>
              <w:spacing w:line="440" w:lineRule="exact"/>
              <w:jc w:val="center"/>
              <w:rPr>
                <w:rFonts w:ascii="宋体" w:hAnsi="宋体" w:cs="宋体"/>
                <w:szCs w:val="21"/>
              </w:rPr>
            </w:pPr>
            <w:r>
              <w:rPr>
                <w:rFonts w:hint="eastAsia" w:ascii="宋体" w:hAnsi="宋体" w:cs="宋体"/>
                <w:szCs w:val="21"/>
              </w:rPr>
              <w:t>序号</w:t>
            </w:r>
          </w:p>
        </w:tc>
        <w:tc>
          <w:tcPr>
            <w:tcW w:w="4989" w:type="dxa"/>
            <w:vMerge w:val="restart"/>
            <w:vAlign w:val="center"/>
          </w:tcPr>
          <w:p>
            <w:pPr>
              <w:spacing w:line="440" w:lineRule="exact"/>
              <w:jc w:val="center"/>
              <w:rPr>
                <w:rFonts w:ascii="宋体" w:hAnsi="宋体" w:cs="宋体"/>
                <w:szCs w:val="21"/>
              </w:rPr>
            </w:pPr>
            <w:r>
              <w:rPr>
                <w:rFonts w:hint="eastAsia" w:ascii="宋体" w:hAnsi="宋体" w:cs="宋体"/>
                <w:szCs w:val="21"/>
              </w:rPr>
              <w:t>检验项目</w:t>
            </w:r>
          </w:p>
        </w:tc>
        <w:tc>
          <w:tcPr>
            <w:tcW w:w="3633" w:type="dxa"/>
            <w:vMerge w:val="restart"/>
            <w:vAlign w:val="center"/>
          </w:tcPr>
          <w:p>
            <w:pPr>
              <w:spacing w:line="440" w:lineRule="exact"/>
              <w:jc w:val="center"/>
              <w:rPr>
                <w:rFonts w:ascii="宋体" w:hAnsi="宋体" w:cs="宋体"/>
                <w:szCs w:val="21"/>
              </w:rPr>
            </w:pPr>
            <w:r>
              <w:rPr>
                <w:rFonts w:hint="eastAsia" w:ascii="宋体" w:hAnsi="宋体" w:cs="宋体"/>
                <w:szCs w:val="21"/>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9" w:type="dxa"/>
            <w:vMerge w:val="continue"/>
            <w:vAlign w:val="center"/>
          </w:tcPr>
          <w:p>
            <w:pPr>
              <w:spacing w:line="440" w:lineRule="exact"/>
              <w:jc w:val="center"/>
              <w:rPr>
                <w:rFonts w:ascii="宋体" w:hAnsi="宋体" w:cs="宋体"/>
                <w:szCs w:val="21"/>
              </w:rPr>
            </w:pPr>
          </w:p>
        </w:tc>
        <w:tc>
          <w:tcPr>
            <w:tcW w:w="4989" w:type="dxa"/>
            <w:vMerge w:val="continue"/>
            <w:vAlign w:val="center"/>
          </w:tcPr>
          <w:p>
            <w:pPr>
              <w:spacing w:line="440" w:lineRule="exact"/>
              <w:jc w:val="center"/>
              <w:rPr>
                <w:rFonts w:ascii="宋体" w:hAnsi="宋体" w:cs="宋体"/>
                <w:szCs w:val="21"/>
              </w:rPr>
            </w:pPr>
          </w:p>
        </w:tc>
        <w:tc>
          <w:tcPr>
            <w:tcW w:w="3633" w:type="dxa"/>
            <w:vMerge w:val="continue"/>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4989" w:type="dxa"/>
            <w:vAlign w:val="center"/>
          </w:tcPr>
          <w:p>
            <w:pPr>
              <w:spacing w:line="440" w:lineRule="exact"/>
              <w:jc w:val="center"/>
              <w:rPr>
                <w:rFonts w:ascii="宋体" w:hAnsi="宋体" w:cs="宋体"/>
                <w:szCs w:val="21"/>
              </w:rPr>
            </w:pPr>
            <w:r>
              <w:rPr>
                <w:rFonts w:hint="eastAsia" w:ascii="宋体" w:hAnsi="宋体" w:cs="宋体"/>
                <w:szCs w:val="21"/>
              </w:rPr>
              <w:t>氮（N）</w:t>
            </w:r>
          </w:p>
        </w:tc>
        <w:tc>
          <w:tcPr>
            <w:tcW w:w="3633" w:type="dxa"/>
            <w:vAlign w:val="center"/>
          </w:tcPr>
          <w:p>
            <w:pPr>
              <w:spacing w:line="440" w:lineRule="exact"/>
              <w:jc w:val="center"/>
              <w:rPr>
                <w:kern w:val="0"/>
                <w:szCs w:val="21"/>
              </w:rPr>
            </w:pPr>
            <w:r>
              <w:rPr>
                <w:rFonts w:hint="eastAsia"/>
                <w:kern w:val="0"/>
                <w:szCs w:val="21"/>
              </w:rPr>
              <w:t>GB/T 3559-2001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4989" w:type="dxa"/>
            <w:vAlign w:val="center"/>
          </w:tcPr>
          <w:p>
            <w:pPr>
              <w:spacing w:line="440" w:lineRule="exact"/>
              <w:jc w:val="center"/>
              <w:rPr>
                <w:rFonts w:ascii="宋体" w:hAnsi="宋体" w:cs="宋体"/>
                <w:szCs w:val="21"/>
              </w:rPr>
            </w:pPr>
            <w:r>
              <w:rPr>
                <w:rFonts w:hint="eastAsia" w:ascii="宋体" w:hAnsi="宋体" w:cs="宋体"/>
                <w:szCs w:val="21"/>
              </w:rPr>
              <w:t>水分（H</w:t>
            </w:r>
            <w:r>
              <w:rPr>
                <w:rFonts w:hint="eastAsia" w:ascii="宋体" w:hAnsi="宋体" w:cs="宋体"/>
                <w:szCs w:val="21"/>
                <w:vertAlign w:val="subscript"/>
              </w:rPr>
              <w:t>2</w:t>
            </w:r>
            <w:r>
              <w:rPr>
                <w:rFonts w:hint="eastAsia" w:ascii="宋体" w:hAnsi="宋体" w:cs="宋体"/>
                <w:szCs w:val="21"/>
              </w:rPr>
              <w:t>O）</w:t>
            </w:r>
          </w:p>
        </w:tc>
        <w:tc>
          <w:tcPr>
            <w:tcW w:w="3633" w:type="dxa"/>
            <w:vAlign w:val="center"/>
          </w:tcPr>
          <w:p>
            <w:pPr>
              <w:spacing w:line="440" w:lineRule="exact"/>
              <w:jc w:val="center"/>
              <w:rPr>
                <w:kern w:val="0"/>
                <w:szCs w:val="21"/>
              </w:rPr>
            </w:pPr>
            <w:r>
              <w:rPr>
                <w:rFonts w:hint="eastAsia"/>
                <w:kern w:val="0"/>
                <w:szCs w:val="21"/>
              </w:rPr>
              <w:t>GB/T 3559-2001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4989" w:type="dxa"/>
            <w:vAlign w:val="center"/>
          </w:tcPr>
          <w:p>
            <w:pPr>
              <w:widowControl/>
              <w:jc w:val="center"/>
              <w:rPr>
                <w:kern w:val="0"/>
                <w:szCs w:val="21"/>
              </w:rPr>
            </w:pPr>
            <w:r>
              <w:rPr>
                <w:kern w:val="0"/>
                <w:szCs w:val="21"/>
              </w:rPr>
              <w:t>总砷</w:t>
            </w:r>
          </w:p>
        </w:tc>
        <w:tc>
          <w:tcPr>
            <w:tcW w:w="3633" w:type="dxa"/>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4</w:t>
            </w:r>
          </w:p>
        </w:tc>
        <w:tc>
          <w:tcPr>
            <w:tcW w:w="4989" w:type="dxa"/>
            <w:vAlign w:val="center"/>
          </w:tcPr>
          <w:p>
            <w:pPr>
              <w:widowControl/>
              <w:jc w:val="center"/>
              <w:rPr>
                <w:kern w:val="0"/>
                <w:szCs w:val="21"/>
              </w:rPr>
            </w:pPr>
            <w:r>
              <w:rPr>
                <w:kern w:val="0"/>
                <w:szCs w:val="21"/>
              </w:rPr>
              <w:t>总镉</w:t>
            </w:r>
          </w:p>
        </w:tc>
        <w:tc>
          <w:tcPr>
            <w:tcW w:w="3633" w:type="dxa"/>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5</w:t>
            </w:r>
          </w:p>
        </w:tc>
        <w:tc>
          <w:tcPr>
            <w:tcW w:w="4989" w:type="dxa"/>
            <w:vAlign w:val="center"/>
          </w:tcPr>
          <w:p>
            <w:pPr>
              <w:widowControl/>
              <w:jc w:val="center"/>
              <w:rPr>
                <w:kern w:val="0"/>
                <w:szCs w:val="21"/>
              </w:rPr>
            </w:pPr>
            <w:r>
              <w:rPr>
                <w:kern w:val="0"/>
                <w:szCs w:val="21"/>
              </w:rPr>
              <w:t>总铅</w:t>
            </w:r>
          </w:p>
        </w:tc>
        <w:tc>
          <w:tcPr>
            <w:tcW w:w="3633" w:type="dxa"/>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6</w:t>
            </w:r>
          </w:p>
        </w:tc>
        <w:tc>
          <w:tcPr>
            <w:tcW w:w="4989" w:type="dxa"/>
            <w:vAlign w:val="center"/>
          </w:tcPr>
          <w:p>
            <w:pPr>
              <w:widowControl/>
              <w:jc w:val="center"/>
              <w:rPr>
                <w:kern w:val="0"/>
                <w:szCs w:val="21"/>
              </w:rPr>
            </w:pPr>
            <w:r>
              <w:rPr>
                <w:kern w:val="0"/>
                <w:szCs w:val="21"/>
              </w:rPr>
              <w:t>总铬</w:t>
            </w:r>
          </w:p>
        </w:tc>
        <w:tc>
          <w:tcPr>
            <w:tcW w:w="3633" w:type="dxa"/>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7</w:t>
            </w:r>
          </w:p>
        </w:tc>
        <w:tc>
          <w:tcPr>
            <w:tcW w:w="4989" w:type="dxa"/>
            <w:vAlign w:val="center"/>
          </w:tcPr>
          <w:p>
            <w:pPr>
              <w:widowControl/>
              <w:jc w:val="center"/>
              <w:rPr>
                <w:kern w:val="0"/>
                <w:szCs w:val="21"/>
              </w:rPr>
            </w:pPr>
            <w:r>
              <w:rPr>
                <w:kern w:val="0"/>
                <w:szCs w:val="21"/>
              </w:rPr>
              <w:t>总汞</w:t>
            </w:r>
          </w:p>
        </w:tc>
        <w:tc>
          <w:tcPr>
            <w:tcW w:w="3633" w:type="dxa"/>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8</w:t>
            </w:r>
          </w:p>
        </w:tc>
        <w:tc>
          <w:tcPr>
            <w:tcW w:w="4989" w:type="dxa"/>
            <w:vAlign w:val="center"/>
          </w:tcPr>
          <w:p>
            <w:pPr>
              <w:widowControl/>
              <w:jc w:val="center"/>
              <w:rPr>
                <w:kern w:val="0"/>
                <w:szCs w:val="21"/>
              </w:rPr>
            </w:pPr>
            <w:r>
              <w:rPr>
                <w:kern w:val="0"/>
                <w:szCs w:val="21"/>
              </w:rPr>
              <w:t>总铊</w:t>
            </w:r>
          </w:p>
        </w:tc>
        <w:tc>
          <w:tcPr>
            <w:tcW w:w="3633" w:type="dxa"/>
            <w:vAlign w:val="center"/>
          </w:tcPr>
          <w:p>
            <w:pPr>
              <w:widowControl/>
              <w:jc w:val="center"/>
              <w:rPr>
                <w:kern w:val="0"/>
                <w:szCs w:val="21"/>
              </w:rPr>
            </w:pPr>
            <w:r>
              <w:rPr>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spacing w:line="440" w:lineRule="exact"/>
              <w:jc w:val="center"/>
              <w:rPr>
                <w:rFonts w:ascii="宋体" w:hAnsi="宋体" w:cs="宋体"/>
                <w:szCs w:val="21"/>
              </w:rPr>
            </w:pPr>
            <w:r>
              <w:rPr>
                <w:rFonts w:hint="eastAsia" w:ascii="宋体" w:hAnsi="宋体" w:cs="宋体"/>
                <w:szCs w:val="21"/>
              </w:rPr>
              <w:t>9</w:t>
            </w:r>
          </w:p>
        </w:tc>
        <w:tc>
          <w:tcPr>
            <w:tcW w:w="4989" w:type="dxa"/>
            <w:vAlign w:val="center"/>
          </w:tcPr>
          <w:p>
            <w:pPr>
              <w:widowControl/>
              <w:jc w:val="center"/>
              <w:rPr>
                <w:kern w:val="0"/>
                <w:szCs w:val="21"/>
              </w:rPr>
            </w:pPr>
            <w:r>
              <w:rPr>
                <w:rFonts w:hint="eastAsia"/>
                <w:kern w:val="0"/>
                <w:szCs w:val="21"/>
              </w:rPr>
              <w:t>包装标识</w:t>
            </w:r>
          </w:p>
        </w:tc>
        <w:tc>
          <w:tcPr>
            <w:tcW w:w="3633" w:type="dxa"/>
            <w:vAlign w:val="center"/>
          </w:tcPr>
          <w:p>
            <w:pPr>
              <w:widowControl/>
              <w:jc w:val="center"/>
              <w:rPr>
                <w:kern w:val="0"/>
                <w:szCs w:val="21"/>
              </w:rPr>
            </w:pPr>
            <w:r>
              <w:rPr>
                <w:rFonts w:hint="eastAsia"/>
                <w:kern w:val="0"/>
                <w:szCs w:val="21"/>
              </w:rPr>
              <w:t>GB 18382-2021</w:t>
            </w:r>
          </w:p>
          <w:p>
            <w:pPr>
              <w:widowControl/>
              <w:jc w:val="center"/>
              <w:rPr>
                <w:kern w:val="0"/>
                <w:szCs w:val="21"/>
              </w:rPr>
            </w:pPr>
            <w:r>
              <w:rPr>
                <w:rFonts w:hint="eastAsia"/>
                <w:kern w:val="0"/>
                <w:szCs w:val="21"/>
              </w:rPr>
              <w:t>GB/T 3559-2001</w:t>
            </w:r>
          </w:p>
        </w:tc>
      </w:tr>
    </w:tbl>
    <w:p>
      <w:pPr>
        <w:adjustRightInd w:val="0"/>
        <w:snapToGrid w:val="0"/>
        <w:spacing w:line="440" w:lineRule="exact"/>
        <w:ind w:firstLine="420" w:firstLineChars="200"/>
        <w:rPr>
          <w:szCs w:val="21"/>
        </w:rPr>
      </w:pPr>
      <w:r>
        <w:rPr>
          <w:rFonts w:hint="eastAsia"/>
          <w:szCs w:val="21"/>
        </w:rPr>
        <w:t>执行企业标准、团体标准、地方标准的产品，检验项目参照上述内容执行。</w:t>
      </w:r>
    </w:p>
    <w:p>
      <w:pPr>
        <w:snapToGrid w:val="0"/>
        <w:spacing w:line="440" w:lineRule="exact"/>
        <w:ind w:firstLine="420" w:firstLineChars="200"/>
        <w:rPr>
          <w:szCs w:val="21"/>
        </w:rPr>
      </w:pPr>
      <w:r>
        <w:rPr>
          <w:rFonts w:hint="eastAsia"/>
          <w:szCs w:val="21"/>
        </w:rPr>
        <w:t>凡是注日期的文件，其随后所有的修改单（不包括勘误的内容）或修订版不适用于本细则。凡是不注日期的文件，其最新版本适用于本细则。</w:t>
      </w:r>
    </w:p>
    <w:p>
      <w:pPr>
        <w:snapToGrid w:val="0"/>
        <w:spacing w:line="440" w:lineRule="exact"/>
        <w:ind w:firstLine="420" w:firstLineChars="200"/>
        <w:rPr>
          <w:szCs w:val="21"/>
        </w:rPr>
      </w:pPr>
    </w:p>
    <w:p>
      <w:pPr>
        <w:snapToGrid w:val="0"/>
        <w:spacing w:line="440" w:lineRule="exact"/>
        <w:ind w:firstLine="420" w:firstLineChars="200"/>
        <w:rPr>
          <w:szCs w:val="21"/>
        </w:rPr>
      </w:pPr>
    </w:p>
    <w:p>
      <w:pPr>
        <w:spacing w:line="440" w:lineRule="exact"/>
        <w:rPr>
          <w:rFonts w:ascii="黑体" w:hAnsi="黑体" w:eastAsia="黑体"/>
          <w:szCs w:val="21"/>
        </w:rPr>
      </w:pPr>
      <w:r>
        <w:rPr>
          <w:rFonts w:hint="eastAsia" w:ascii="黑体" w:hAnsi="黑体" w:eastAsia="黑体"/>
          <w:szCs w:val="21"/>
        </w:rPr>
        <w:t>3 判定规则</w:t>
      </w:r>
    </w:p>
    <w:p>
      <w:pPr>
        <w:snapToGrid w:val="0"/>
        <w:spacing w:line="440" w:lineRule="exact"/>
        <w:rPr>
          <w:bCs/>
          <w:szCs w:val="21"/>
        </w:rPr>
      </w:pPr>
      <w:r>
        <w:rPr>
          <w:rFonts w:hint="eastAsia"/>
          <w:szCs w:val="21"/>
        </w:rPr>
        <w:t>3.1依据标准</w:t>
      </w:r>
    </w:p>
    <w:p>
      <w:pPr>
        <w:spacing w:line="440" w:lineRule="exact"/>
        <w:ind w:firstLine="420" w:firstLineChars="200"/>
        <w:rPr>
          <w:bCs/>
          <w:szCs w:val="21"/>
        </w:rPr>
      </w:pPr>
      <w:r>
        <w:rPr>
          <w:bCs/>
          <w:szCs w:val="21"/>
        </w:rPr>
        <w:t>GB 18382-2021 肥料标识 内容和要求</w:t>
      </w:r>
    </w:p>
    <w:p>
      <w:pPr>
        <w:spacing w:line="440" w:lineRule="exact"/>
        <w:ind w:firstLine="420" w:firstLineChars="200"/>
        <w:rPr>
          <w:bCs/>
          <w:szCs w:val="21"/>
        </w:rPr>
      </w:pPr>
      <w:r>
        <w:rPr>
          <w:bCs/>
          <w:szCs w:val="21"/>
        </w:rPr>
        <w:t>GB 38400-2019 肥料中有毒有害物质的限量要求</w:t>
      </w:r>
    </w:p>
    <w:p>
      <w:pPr>
        <w:spacing w:line="440" w:lineRule="exact"/>
        <w:ind w:firstLine="420" w:firstLineChars="200"/>
        <w:rPr>
          <w:bCs/>
          <w:szCs w:val="21"/>
        </w:rPr>
      </w:pPr>
      <w:r>
        <w:rPr>
          <w:bCs/>
          <w:szCs w:val="21"/>
        </w:rPr>
        <w:t>GB/T 535-2020 肥料级硫酸铵</w:t>
      </w:r>
    </w:p>
    <w:p>
      <w:pPr>
        <w:spacing w:line="440" w:lineRule="exact"/>
        <w:ind w:firstLine="420" w:firstLineChars="200"/>
        <w:rPr>
          <w:bCs/>
          <w:szCs w:val="21"/>
        </w:rPr>
      </w:pPr>
      <w:r>
        <w:rPr>
          <w:bCs/>
          <w:szCs w:val="21"/>
        </w:rPr>
        <w:t>GB/T 2440-2017 尿素</w:t>
      </w:r>
    </w:p>
    <w:p>
      <w:pPr>
        <w:spacing w:line="440" w:lineRule="exact"/>
        <w:ind w:firstLine="420" w:firstLineChars="200"/>
        <w:rPr>
          <w:bCs/>
          <w:szCs w:val="21"/>
        </w:rPr>
      </w:pPr>
      <w:r>
        <w:rPr>
          <w:kern w:val="0"/>
          <w:szCs w:val="21"/>
        </w:rPr>
        <w:t>GB/T 2946-2018</w:t>
      </w:r>
      <w:r>
        <w:rPr>
          <w:bCs/>
          <w:szCs w:val="21"/>
        </w:rPr>
        <w:t xml:space="preserve"> 氯化铵</w:t>
      </w:r>
    </w:p>
    <w:p>
      <w:pPr>
        <w:spacing w:line="440" w:lineRule="exact"/>
        <w:ind w:firstLine="420" w:firstLineChars="200"/>
        <w:rPr>
          <w:bCs/>
          <w:szCs w:val="21"/>
        </w:rPr>
      </w:pPr>
      <w:r>
        <w:rPr>
          <w:rFonts w:hint="eastAsia"/>
          <w:kern w:val="0"/>
          <w:szCs w:val="21"/>
        </w:rPr>
        <w:t>GB/T 3559-2001</w:t>
      </w:r>
      <w:r>
        <w:rPr>
          <w:rFonts w:hint="eastAsia" w:ascii="宋体" w:hAnsi="宋体" w:cs="宋体"/>
          <w:bCs/>
          <w:szCs w:val="21"/>
        </w:rPr>
        <w:t>农业用碳酸氢铵</w:t>
      </w:r>
    </w:p>
    <w:p>
      <w:pPr>
        <w:spacing w:line="440" w:lineRule="exact"/>
        <w:ind w:firstLine="420" w:firstLineChars="200"/>
        <w:rPr>
          <w:bCs/>
          <w:strike/>
          <w:szCs w:val="21"/>
        </w:rPr>
      </w:pPr>
      <w:r>
        <w:rPr>
          <w:rFonts w:hint="eastAsia"/>
          <w:szCs w:val="21"/>
        </w:rPr>
        <w:t>现行有效的企业标准、团体标准、地方标准及产品明示质量要求</w:t>
      </w:r>
    </w:p>
    <w:p>
      <w:pPr>
        <w:snapToGrid w:val="0"/>
        <w:spacing w:line="440" w:lineRule="exact"/>
        <w:rPr>
          <w:szCs w:val="21"/>
        </w:rPr>
      </w:pPr>
      <w:r>
        <w:rPr>
          <w:rFonts w:hint="eastAsia"/>
          <w:szCs w:val="21"/>
        </w:rPr>
        <w:t>3.2判定原则</w:t>
      </w:r>
    </w:p>
    <w:p>
      <w:pPr>
        <w:snapToGrid w:val="0"/>
        <w:spacing w:line="440" w:lineRule="exact"/>
        <w:ind w:firstLine="417" w:firstLineChars="199"/>
        <w:rPr>
          <w:szCs w:val="21"/>
        </w:rPr>
      </w:pPr>
      <w:r>
        <w:rPr>
          <w:color w:val="000000"/>
          <w:szCs w:val="21"/>
        </w:rPr>
        <w:t>经检验，检验项目全部合格，判定为被抽查产品所检项目未发现不合格</w:t>
      </w:r>
      <w:r>
        <w:rPr>
          <w:rFonts w:hint="eastAsia"/>
          <w:szCs w:val="21"/>
        </w:rPr>
        <w:t>；检验项目中任一项或一项以上不合格，判定为被抽查产品不合格。</w:t>
      </w:r>
    </w:p>
    <w:p>
      <w:pPr>
        <w:snapToGrid w:val="0"/>
        <w:spacing w:line="440" w:lineRule="exact"/>
        <w:ind w:firstLine="417" w:firstLineChars="199"/>
        <w:rPr>
          <w:szCs w:val="21"/>
        </w:rPr>
      </w:pPr>
      <w:r>
        <w:rPr>
          <w:rFonts w:hint="eastAsia"/>
          <w:szCs w:val="21"/>
        </w:rPr>
        <w:t>若被检产品明示的质量要求高于本细则中检验项目依据的标准要求时，应按被检产品明示的质量要求判定。</w:t>
      </w:r>
    </w:p>
    <w:p>
      <w:pPr>
        <w:snapToGrid w:val="0"/>
        <w:spacing w:line="440" w:lineRule="exact"/>
        <w:ind w:firstLine="417" w:firstLineChars="199"/>
        <w:rPr>
          <w:szCs w:val="21"/>
        </w:rPr>
      </w:pPr>
      <w:r>
        <w:rPr>
          <w:rFonts w:hint="eastAsia"/>
          <w:szCs w:val="21"/>
        </w:rPr>
        <w:t>若被检产品明示的质量要求低于本细则中检验项目依据的强制性标准要求时，应按照强制性标准要求判定。</w:t>
      </w:r>
    </w:p>
    <w:p>
      <w:pPr>
        <w:snapToGrid w:val="0"/>
        <w:spacing w:line="440" w:lineRule="exact"/>
        <w:ind w:firstLine="417" w:firstLineChars="199"/>
        <w:rPr>
          <w:szCs w:val="21"/>
        </w:rPr>
      </w:pPr>
      <w:r>
        <w:rPr>
          <w:rFonts w:hint="eastAsia"/>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szCs w:val="21"/>
        </w:rPr>
      </w:pPr>
      <w:r>
        <w:rPr>
          <w:rFonts w:hint="eastAsia"/>
          <w:szCs w:val="21"/>
        </w:rPr>
        <w:t>若被检产品明示的质量要求缺少本细则中检验项目依据的强制性标准要求时，应按照强制性标准要求判定。</w:t>
      </w:r>
    </w:p>
    <w:p>
      <w:pPr>
        <w:snapToGrid w:val="0"/>
        <w:spacing w:line="440" w:lineRule="exact"/>
        <w:ind w:firstLine="417" w:firstLineChars="199"/>
        <w:rPr>
          <w:szCs w:val="21"/>
        </w:rPr>
      </w:pPr>
      <w:r>
        <w:rPr>
          <w:rFonts w:hint="eastAsia"/>
          <w:szCs w:val="21"/>
        </w:rPr>
        <w:t>若被检产品明示的质量要求缺少本细则中检验项目依据的推荐性标准要求时，该项目不参与判定。</w:t>
      </w:r>
    </w:p>
    <w:p>
      <w:pPr>
        <w:snapToGrid w:val="0"/>
        <w:spacing w:line="440" w:lineRule="exact"/>
        <w:ind w:firstLine="417" w:firstLineChars="199"/>
        <w:rPr>
          <w:szCs w:val="21"/>
        </w:rPr>
      </w:pPr>
    </w:p>
    <w:p>
      <w:pPr>
        <w:spacing w:line="440" w:lineRule="exact"/>
        <w:rPr>
          <w:rFonts w:ascii="黑体" w:hAnsi="黑体" w:eastAsia="黑体"/>
          <w:szCs w:val="21"/>
        </w:rPr>
      </w:pPr>
      <w:r>
        <w:rPr>
          <w:rFonts w:hint="eastAsia" w:ascii="黑体" w:hAnsi="黑体" w:eastAsia="黑体"/>
          <w:szCs w:val="21"/>
        </w:rPr>
        <w:t>4 附则</w:t>
      </w:r>
    </w:p>
    <w:p>
      <w:pPr>
        <w:snapToGrid w:val="0"/>
        <w:spacing w:line="440" w:lineRule="exact"/>
        <w:ind w:firstLine="420" w:firstLineChars="200"/>
      </w:pPr>
      <w:r>
        <w:rPr>
          <w:rFonts w:hint="eastAsia"/>
        </w:rPr>
        <w:t>本细则代替《贵州省市场监管局关于发布2023年版工业硫酸等245种产品贵州省产品质量监督抽查实施细则的公告》（黔市监公告〔2023〕41号）中的《贵州省</w:t>
      </w:r>
      <w:r>
        <w:rPr>
          <w:rFonts w:hint="eastAsia"/>
          <w:szCs w:val="21"/>
        </w:rPr>
        <w:t>氮肥</w:t>
      </w:r>
      <w:r>
        <w:rPr>
          <w:rFonts w:hint="eastAsia"/>
        </w:rPr>
        <w:t>产品质量监督抽查实施细则（2023年版）》。</w:t>
      </w:r>
    </w:p>
    <w:p>
      <w:pPr>
        <w:pStyle w:val="6"/>
        <w:widowControl/>
        <w:shd w:val="clear" w:color="auto" w:fill="FFFFFF"/>
        <w:spacing w:before="0" w:beforeAutospacing="0" w:after="0" w:afterAutospacing="0" w:line="420" w:lineRule="atLeast"/>
        <w:ind w:firstLine="420" w:firstLineChars="200"/>
        <w:jc w:val="both"/>
        <w:rPr>
          <w:rFonts w:ascii="Times New Roman" w:hAnsi="Times New Roman"/>
          <w:kern w:val="2"/>
          <w:sz w:val="21"/>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en-US"/>
      </w:rPr>
      <w:t>4</w:t>
    </w:r>
    <w:r>
      <w:fldChar w:fldCharType="end"/>
    </w:r>
  </w:p>
  <w:p>
    <w:pPr>
      <w:pStyle w:val="4"/>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4"/>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03010"/>
    <w:multiLevelType w:val="multilevel"/>
    <w:tmpl w:val="34503010"/>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605519"/>
    <w:multiLevelType w:val="multilevel"/>
    <w:tmpl w:val="6560551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9C3213"/>
    <w:multiLevelType w:val="multilevel"/>
    <w:tmpl w:val="759C3213"/>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ZmM4MTM5MmJlM2EyMDJmZmViNTJiYzBhZGZiMjcifQ=="/>
  </w:docVars>
  <w:rsids>
    <w:rsidRoot w:val="00D72CF4"/>
    <w:rsid w:val="00017556"/>
    <w:rsid w:val="00032F12"/>
    <w:rsid w:val="00081C66"/>
    <w:rsid w:val="000A13F2"/>
    <w:rsid w:val="000A2551"/>
    <w:rsid w:val="000A6B33"/>
    <w:rsid w:val="000B7FDB"/>
    <w:rsid w:val="000F3245"/>
    <w:rsid w:val="00113709"/>
    <w:rsid w:val="001166F6"/>
    <w:rsid w:val="00117110"/>
    <w:rsid w:val="00126C68"/>
    <w:rsid w:val="00130DDB"/>
    <w:rsid w:val="001B02CC"/>
    <w:rsid w:val="001C3442"/>
    <w:rsid w:val="001D09FC"/>
    <w:rsid w:val="00236AC1"/>
    <w:rsid w:val="00245832"/>
    <w:rsid w:val="002C7811"/>
    <w:rsid w:val="002D6692"/>
    <w:rsid w:val="002E1860"/>
    <w:rsid w:val="002E19A9"/>
    <w:rsid w:val="003416E6"/>
    <w:rsid w:val="00350BE2"/>
    <w:rsid w:val="00376B9B"/>
    <w:rsid w:val="003852CF"/>
    <w:rsid w:val="0041463F"/>
    <w:rsid w:val="00434A26"/>
    <w:rsid w:val="00440D39"/>
    <w:rsid w:val="00443998"/>
    <w:rsid w:val="00456781"/>
    <w:rsid w:val="004A7913"/>
    <w:rsid w:val="004E5009"/>
    <w:rsid w:val="004E60AF"/>
    <w:rsid w:val="004F7B8B"/>
    <w:rsid w:val="005049FA"/>
    <w:rsid w:val="005071CF"/>
    <w:rsid w:val="00577E12"/>
    <w:rsid w:val="005815DF"/>
    <w:rsid w:val="005C30AE"/>
    <w:rsid w:val="005E40FA"/>
    <w:rsid w:val="005F0F9A"/>
    <w:rsid w:val="00611571"/>
    <w:rsid w:val="006178A9"/>
    <w:rsid w:val="00622447"/>
    <w:rsid w:val="00637382"/>
    <w:rsid w:val="00673684"/>
    <w:rsid w:val="00673CF5"/>
    <w:rsid w:val="006A53D6"/>
    <w:rsid w:val="006B20BF"/>
    <w:rsid w:val="006B6CAC"/>
    <w:rsid w:val="006C287C"/>
    <w:rsid w:val="006D0822"/>
    <w:rsid w:val="006E06E1"/>
    <w:rsid w:val="00731D08"/>
    <w:rsid w:val="007E2B85"/>
    <w:rsid w:val="007F0C8D"/>
    <w:rsid w:val="007F1C15"/>
    <w:rsid w:val="007F1EE3"/>
    <w:rsid w:val="007F5509"/>
    <w:rsid w:val="00807C54"/>
    <w:rsid w:val="00815C3B"/>
    <w:rsid w:val="008358A7"/>
    <w:rsid w:val="00840353"/>
    <w:rsid w:val="008661FA"/>
    <w:rsid w:val="008856D1"/>
    <w:rsid w:val="008C103E"/>
    <w:rsid w:val="008F38D9"/>
    <w:rsid w:val="00900FB5"/>
    <w:rsid w:val="009163D3"/>
    <w:rsid w:val="00933FE2"/>
    <w:rsid w:val="009615B3"/>
    <w:rsid w:val="00963073"/>
    <w:rsid w:val="00972E74"/>
    <w:rsid w:val="00996B6A"/>
    <w:rsid w:val="009D752A"/>
    <w:rsid w:val="009F7BA2"/>
    <w:rsid w:val="00A123D3"/>
    <w:rsid w:val="00A40AF5"/>
    <w:rsid w:val="00A4781A"/>
    <w:rsid w:val="00A66AB8"/>
    <w:rsid w:val="00A740D4"/>
    <w:rsid w:val="00A8485E"/>
    <w:rsid w:val="00A94910"/>
    <w:rsid w:val="00AA7703"/>
    <w:rsid w:val="00B13924"/>
    <w:rsid w:val="00B329B1"/>
    <w:rsid w:val="00B44A7F"/>
    <w:rsid w:val="00B50E31"/>
    <w:rsid w:val="00B74731"/>
    <w:rsid w:val="00BA5C64"/>
    <w:rsid w:val="00BC65BC"/>
    <w:rsid w:val="00BD475B"/>
    <w:rsid w:val="00C31E06"/>
    <w:rsid w:val="00C507F0"/>
    <w:rsid w:val="00C80726"/>
    <w:rsid w:val="00C82207"/>
    <w:rsid w:val="00D3326C"/>
    <w:rsid w:val="00D47AF2"/>
    <w:rsid w:val="00D72CF4"/>
    <w:rsid w:val="00D91055"/>
    <w:rsid w:val="00D9240E"/>
    <w:rsid w:val="00DC322A"/>
    <w:rsid w:val="00DF03EC"/>
    <w:rsid w:val="00E3095F"/>
    <w:rsid w:val="00E6689B"/>
    <w:rsid w:val="00EA0E95"/>
    <w:rsid w:val="00EA1F7A"/>
    <w:rsid w:val="00EC21F2"/>
    <w:rsid w:val="00ED1C63"/>
    <w:rsid w:val="00EE0CA1"/>
    <w:rsid w:val="00EE7E14"/>
    <w:rsid w:val="00EF1B7C"/>
    <w:rsid w:val="00F27467"/>
    <w:rsid w:val="00F90579"/>
    <w:rsid w:val="00F922C9"/>
    <w:rsid w:val="00FA2E17"/>
    <w:rsid w:val="00FA43F7"/>
    <w:rsid w:val="00FC7CC0"/>
    <w:rsid w:val="010A5A0B"/>
    <w:rsid w:val="0390170A"/>
    <w:rsid w:val="06EB2D6C"/>
    <w:rsid w:val="07DA4F14"/>
    <w:rsid w:val="0EBA5585"/>
    <w:rsid w:val="0F5A1850"/>
    <w:rsid w:val="1548590A"/>
    <w:rsid w:val="23692860"/>
    <w:rsid w:val="26A0468C"/>
    <w:rsid w:val="29EE5791"/>
    <w:rsid w:val="315C300C"/>
    <w:rsid w:val="36845FB9"/>
    <w:rsid w:val="395958BA"/>
    <w:rsid w:val="50E21514"/>
    <w:rsid w:val="57B5CC49"/>
    <w:rsid w:val="68AB457B"/>
    <w:rsid w:val="6C7D4B2E"/>
    <w:rsid w:val="72BA73F8"/>
    <w:rsid w:val="7AA519A1"/>
    <w:rsid w:val="7AF792DF"/>
    <w:rsid w:val="7FF735A5"/>
    <w:rsid w:val="AFD73B6C"/>
    <w:rsid w:val="FBE8B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lang w:val="zh-CN"/>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Normal (Web)"/>
    <w:basedOn w:val="1"/>
    <w:unhideWhenUsed/>
    <w:qFormat/>
    <w:uiPriority w:val="0"/>
    <w:pPr>
      <w:spacing w:before="100" w:beforeAutospacing="1" w:after="100" w:afterAutospacing="1"/>
      <w:jc w:val="left"/>
    </w:pPr>
    <w:rPr>
      <w:rFonts w:ascii="Calibri" w:hAnsi="Calibri"/>
      <w:kern w:val="0"/>
      <w:sz w:val="24"/>
      <w:szCs w:val="22"/>
    </w:rPr>
  </w:style>
  <w:style w:type="paragraph" w:styleId="7">
    <w:name w:val="annotation subject"/>
    <w:basedOn w:val="2"/>
    <w:next w:val="2"/>
    <w:link w:val="19"/>
    <w:semiHidden/>
    <w:unhideWhenUsed/>
    <w:qFormat/>
    <w:uiPriority w:val="99"/>
    <w:rPr>
      <w:b/>
      <w:bCs/>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annotation reference"/>
    <w:basedOn w:val="10"/>
    <w:semiHidden/>
    <w:unhideWhenUsed/>
    <w:qFormat/>
    <w:uiPriority w:val="99"/>
    <w:rPr>
      <w:sz w:val="21"/>
      <w:szCs w:val="21"/>
    </w:rPr>
  </w:style>
  <w:style w:type="character" w:customStyle="1" w:styleId="13">
    <w:name w:val="页脚 字符"/>
    <w:basedOn w:val="10"/>
    <w:semiHidden/>
    <w:qFormat/>
    <w:uiPriority w:val="99"/>
    <w:rPr>
      <w:rFonts w:ascii="Times New Roman" w:hAnsi="Times New Roman" w:eastAsia="宋体" w:cs="Times New Roman"/>
      <w:sz w:val="18"/>
      <w:szCs w:val="18"/>
    </w:rPr>
  </w:style>
  <w:style w:type="character" w:customStyle="1" w:styleId="14">
    <w:name w:val="页脚 字符1"/>
    <w:link w:val="4"/>
    <w:qFormat/>
    <w:uiPriority w:val="99"/>
    <w:rPr>
      <w:rFonts w:ascii="Times New Roman" w:hAnsi="Times New Roman" w:eastAsia="宋体" w:cs="Times New Roman"/>
      <w:sz w:val="18"/>
      <w:szCs w:val="18"/>
      <w:lang w:val="zh-CN" w:eastAsia="zh-CN"/>
    </w:rPr>
  </w:style>
  <w:style w:type="character" w:customStyle="1" w:styleId="15">
    <w:name w:val="页眉 字符"/>
    <w:basedOn w:val="10"/>
    <w:semiHidden/>
    <w:qFormat/>
    <w:uiPriority w:val="99"/>
    <w:rPr>
      <w:rFonts w:ascii="Times New Roman" w:hAnsi="Times New Roman" w:eastAsia="宋体" w:cs="Times New Roman"/>
      <w:sz w:val="18"/>
      <w:szCs w:val="18"/>
    </w:rPr>
  </w:style>
  <w:style w:type="character" w:customStyle="1" w:styleId="16">
    <w:name w:val="页眉 字符1"/>
    <w:link w:val="5"/>
    <w:qFormat/>
    <w:uiPriority w:val="99"/>
    <w:rPr>
      <w:rFonts w:ascii="Times New Roman" w:hAnsi="Times New Roman" w:eastAsia="宋体" w:cs="Times New Roman"/>
      <w:sz w:val="18"/>
      <w:szCs w:val="18"/>
      <w:lang w:val="zh-CN" w:eastAsia="zh-CN"/>
    </w:rPr>
  </w:style>
  <w:style w:type="paragraph" w:styleId="17">
    <w:name w:val="List Paragraph"/>
    <w:basedOn w:val="1"/>
    <w:qFormat/>
    <w:uiPriority w:val="34"/>
    <w:pPr>
      <w:ind w:firstLine="420" w:firstLineChars="200"/>
    </w:pPr>
    <w:rPr>
      <w:rFonts w:ascii="等线" w:hAnsi="等线" w:eastAsia="等线"/>
      <w:szCs w:val="22"/>
    </w:rPr>
  </w:style>
  <w:style w:type="character" w:customStyle="1" w:styleId="18">
    <w:name w:val="批注文字 字符"/>
    <w:basedOn w:val="10"/>
    <w:link w:val="2"/>
    <w:semiHidden/>
    <w:qFormat/>
    <w:uiPriority w:val="99"/>
    <w:rPr>
      <w:rFonts w:ascii="Times New Roman" w:hAnsi="Times New Roman" w:eastAsia="宋体" w:cs="Times New Roman"/>
      <w:kern w:val="2"/>
      <w:sz w:val="21"/>
      <w:szCs w:val="24"/>
    </w:rPr>
  </w:style>
  <w:style w:type="character" w:customStyle="1" w:styleId="19">
    <w:name w:val="批注主题 字符"/>
    <w:basedOn w:val="18"/>
    <w:link w:val="7"/>
    <w:semiHidden/>
    <w:qFormat/>
    <w:uiPriority w:val="99"/>
    <w:rPr>
      <w:rFonts w:ascii="Times New Roman" w:hAnsi="Times New Roman" w:eastAsia="宋体" w:cs="Times New Roman"/>
      <w:b/>
      <w:bCs/>
      <w:kern w:val="2"/>
      <w:sz w:val="21"/>
      <w:szCs w:val="24"/>
    </w:rPr>
  </w:style>
  <w:style w:type="character" w:customStyle="1" w:styleId="20">
    <w:name w:val="批注框文本 字符"/>
    <w:basedOn w:val="10"/>
    <w:link w:val="3"/>
    <w:semiHidden/>
    <w:qFormat/>
    <w:uiPriority w:val="99"/>
    <w:rPr>
      <w:rFonts w:ascii="Times New Roman" w:hAnsi="Times New Roman" w:eastAsia="宋体" w:cs="Times New Roman"/>
      <w:kern w:val="2"/>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377</Words>
  <Characters>2149</Characters>
  <Lines>17</Lines>
  <Paragraphs>5</Paragraphs>
  <TotalTime>13</TotalTime>
  <ScaleCrop>false</ScaleCrop>
  <LinksUpToDate>false</LinksUpToDate>
  <CharactersWithSpaces>2521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2022-05-13T14:53:00Z</dcterms:created>
  <dc:creator>Admin</dc:creator>
  <cp:lastModifiedBy>ysgz</cp:lastModifiedBy>
  <dcterms:modified xsi:type="dcterms:W3CDTF">2024-03-20T17:11:34Z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0F0B2424880641AB84A432B7FB7B7DEA_13</vt:lpwstr>
  </property>
</Properties>
</file>