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D38449">
      <w:pPr>
        <w:jc w:val="center"/>
        <w:rPr>
          <w:rFonts w:hint="eastAsia" w:ascii="微软雅黑" w:hAnsi="微软雅黑" w:eastAsia="微软雅黑" w:cs="微软雅黑"/>
          <w:sz w:val="56"/>
          <w:szCs w:val="56"/>
        </w:rPr>
      </w:pPr>
    </w:p>
    <w:p w14:paraId="12E827F3">
      <w:pPr>
        <w:jc w:val="center"/>
        <w:rPr>
          <w:rFonts w:hint="eastAsia" w:ascii="微软雅黑" w:hAnsi="微软雅黑" w:eastAsia="微软雅黑" w:cs="微软雅黑"/>
          <w:sz w:val="56"/>
          <w:szCs w:val="56"/>
        </w:rPr>
      </w:pPr>
    </w:p>
    <w:p w14:paraId="1845EB40">
      <w:pPr>
        <w:jc w:val="center"/>
        <w:rPr>
          <w:rFonts w:hint="eastAsia" w:ascii="微软雅黑" w:hAnsi="微软雅黑" w:eastAsia="微软雅黑" w:cs="微软雅黑"/>
          <w:sz w:val="56"/>
          <w:szCs w:val="56"/>
        </w:rPr>
      </w:pPr>
    </w:p>
    <w:p w14:paraId="0E21398C">
      <w:pPr>
        <w:jc w:val="center"/>
        <w:rPr>
          <w:rFonts w:hint="eastAsia" w:ascii="微软雅黑" w:hAnsi="微软雅黑" w:eastAsia="微软雅黑" w:cs="微软雅黑"/>
          <w:spacing w:val="-11"/>
          <w:sz w:val="60"/>
          <w:szCs w:val="60"/>
        </w:rPr>
        <w:sectPr>
          <w:pgSz w:w="16838" w:h="11906" w:orient="landscape"/>
          <w:pgMar w:top="1587" w:right="2098" w:bottom="1474" w:left="1701" w:header="851" w:footer="992" w:gutter="0"/>
          <w:pgBorders>
            <w:top w:val="none" w:sz="0" w:space="0"/>
            <w:left w:val="none" w:sz="0" w:space="0"/>
            <w:bottom w:val="none" w:sz="0" w:space="0"/>
            <w:right w:val="none" w:sz="0" w:space="0"/>
          </w:pgBorders>
          <w:pgNumType w:fmt="decimal"/>
          <w:cols w:space="720" w:num="1"/>
          <w:rtlGutter w:val="1"/>
          <w:docGrid w:type="linesAndChars" w:linePitch="317" w:charSpace="604"/>
        </w:sectPr>
      </w:pPr>
      <w:r>
        <w:rPr>
          <w:rFonts w:hint="eastAsia" w:ascii="微软雅黑" w:hAnsi="微软雅黑" w:eastAsia="微软雅黑" w:cs="微软雅黑"/>
          <w:spacing w:val="-11"/>
          <w:sz w:val="60"/>
          <w:szCs w:val="60"/>
        </w:rPr>
        <w:t xml:space="preserve">贵安新区2025年绩效报告及重点项目绩效目标情况 </w:t>
      </w:r>
    </w:p>
    <w:p w14:paraId="3FF4B342">
      <w:pPr>
        <w:keepNext w:val="0"/>
        <w:keepLines w:val="0"/>
        <w:pageBreakBefore w:val="0"/>
        <w:widowControl w:val="0"/>
        <w:kinsoku/>
        <w:wordWrap/>
        <w:overflowPunct/>
        <w:topLinePunct w:val="0"/>
        <w:autoSpaceDE/>
        <w:autoSpaceDN/>
        <w:bidi w:val="0"/>
        <w:spacing w:line="560" w:lineRule="exact"/>
        <w:jc w:val="center"/>
        <w:textAlignment w:val="auto"/>
        <w:rPr>
          <w:rFonts w:hint="eastAsia" w:ascii="微软雅黑" w:hAnsi="微软雅黑" w:eastAsia="微软雅黑" w:cs="微软雅黑"/>
          <w:sz w:val="44"/>
          <w:szCs w:val="44"/>
        </w:rPr>
      </w:pPr>
      <w:r>
        <w:rPr>
          <w:rFonts w:hint="eastAsia" w:ascii="微软雅黑" w:hAnsi="微软雅黑" w:eastAsia="微软雅黑" w:cs="微软雅黑"/>
          <w:sz w:val="44"/>
          <w:szCs w:val="44"/>
        </w:rPr>
        <w:t>关于贵安新区预算绩效管理及部分重点项目绩效目标情况工作报告</w:t>
      </w:r>
    </w:p>
    <w:p w14:paraId="2D08FFDF">
      <w:pPr>
        <w:keepNext w:val="0"/>
        <w:keepLines w:val="0"/>
        <w:pageBreakBefore w:val="0"/>
        <w:widowControl w:val="0"/>
        <w:kinsoku/>
        <w:wordWrap/>
        <w:overflowPunct/>
        <w:topLinePunct w:val="0"/>
        <w:autoSpaceDE/>
        <w:autoSpaceDN/>
        <w:bidi w:val="0"/>
        <w:spacing w:line="560" w:lineRule="exact"/>
        <w:textAlignment w:val="auto"/>
        <w:rPr>
          <w:rFonts w:hint="eastAsia" w:eastAsia="宋体" w:cs="Times New Roman"/>
          <w:szCs w:val="24"/>
        </w:rPr>
      </w:pPr>
    </w:p>
    <w:p w14:paraId="339168CA">
      <w:pPr>
        <w:keepNext w:val="0"/>
        <w:keepLines w:val="0"/>
        <w:pageBreakBefore w:val="0"/>
        <w:widowControl w:val="0"/>
        <w:kinsoku/>
        <w:wordWrap/>
        <w:overflowPunct/>
        <w:topLinePunct w:val="0"/>
        <w:autoSpaceDE/>
        <w:autoSpaceDN/>
        <w:bidi w:val="0"/>
        <w:spacing w:line="560" w:lineRule="exact"/>
        <w:ind w:firstLine="644"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2024年</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在市人大和市财政的监督指导下，</w:t>
      </w:r>
      <w:r>
        <w:rPr>
          <w:rFonts w:hint="eastAsia" w:ascii="仿宋_GB2312" w:hAnsi="仿宋_GB2312" w:eastAsia="仿宋_GB2312" w:cs="仿宋_GB2312"/>
          <w:sz w:val="32"/>
          <w:szCs w:val="32"/>
        </w:rPr>
        <w:t>贵安新区</w:t>
      </w:r>
      <w:r>
        <w:rPr>
          <w:rFonts w:hint="eastAsia" w:ascii="仿宋_GB2312" w:hAnsi="仿宋_GB2312" w:eastAsia="仿宋_GB2312" w:cs="仿宋_GB2312"/>
          <w:sz w:val="32"/>
          <w:szCs w:val="32"/>
          <w:lang w:eastAsia="zh-CN"/>
        </w:rPr>
        <w:t>认真落实中央、</w:t>
      </w:r>
      <w:r>
        <w:rPr>
          <w:rFonts w:hint="eastAsia" w:ascii="仿宋_GB2312" w:hAnsi="仿宋_GB2312" w:eastAsia="仿宋_GB2312" w:cs="仿宋_GB2312"/>
          <w:sz w:val="32"/>
          <w:szCs w:val="32"/>
        </w:rPr>
        <w:t>省</w:t>
      </w:r>
      <w:r>
        <w:rPr>
          <w:rFonts w:hint="eastAsia" w:ascii="仿宋_GB2312" w:hAnsi="仿宋_GB2312" w:eastAsia="仿宋_GB2312" w:cs="仿宋_GB2312"/>
          <w:sz w:val="32"/>
          <w:szCs w:val="32"/>
          <w:lang w:eastAsia="zh-CN"/>
        </w:rPr>
        <w:t>及</w:t>
      </w:r>
      <w:r>
        <w:rPr>
          <w:rFonts w:hint="eastAsia" w:ascii="仿宋_GB2312" w:hAnsi="仿宋_GB2312" w:eastAsia="仿宋_GB2312" w:cs="仿宋_GB2312"/>
          <w:sz w:val="32"/>
          <w:szCs w:val="32"/>
        </w:rPr>
        <w:t>市关于全面实施预算绩效管理的</w:t>
      </w:r>
      <w:r>
        <w:rPr>
          <w:rFonts w:hint="eastAsia" w:ascii="仿宋_GB2312" w:hAnsi="仿宋_GB2312" w:eastAsia="仿宋_GB2312" w:cs="仿宋_GB2312"/>
          <w:sz w:val="32"/>
          <w:szCs w:val="32"/>
          <w:lang w:eastAsia="zh-CN"/>
        </w:rPr>
        <w:t>有关精神</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紧扣“</w:t>
      </w:r>
      <w:r>
        <w:rPr>
          <w:rFonts w:hint="eastAsia" w:ascii="仿宋_GB2312" w:hAnsi="仿宋_GB2312" w:eastAsia="仿宋_GB2312" w:cs="仿宋_GB2312"/>
          <w:sz w:val="32"/>
          <w:szCs w:val="32"/>
        </w:rPr>
        <w:t>全方位、全过程、全覆盖</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的</w:t>
      </w:r>
      <w:r>
        <w:rPr>
          <w:rFonts w:hint="eastAsia" w:ascii="仿宋_GB2312" w:hAnsi="仿宋_GB2312" w:eastAsia="仿宋_GB2312" w:cs="仿宋_GB2312"/>
          <w:sz w:val="32"/>
          <w:szCs w:val="32"/>
          <w:lang w:eastAsia="zh-CN"/>
        </w:rPr>
        <w:t>工作要求</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大力将预算绩效管理工作向纵深推进，切实</w:t>
      </w:r>
      <w:r>
        <w:rPr>
          <w:rFonts w:hint="eastAsia" w:ascii="仿宋_GB2312" w:hAnsi="仿宋_GB2312" w:eastAsia="仿宋_GB2312" w:cs="仿宋_GB2312"/>
          <w:sz w:val="32"/>
          <w:szCs w:val="32"/>
        </w:rPr>
        <w:t>提高财政资源配置效率和使用效益。现将贵安新区预算绩效管理及部分重点项目绩效目标情况报告如下：</w:t>
      </w:r>
    </w:p>
    <w:p w14:paraId="21A09F3E">
      <w:pPr>
        <w:keepNext w:val="0"/>
        <w:keepLines w:val="0"/>
        <w:pageBreakBefore w:val="0"/>
        <w:widowControl w:val="0"/>
        <w:kinsoku/>
        <w:wordWrap/>
        <w:overflowPunct/>
        <w:topLinePunct w:val="0"/>
        <w:autoSpaceDE/>
        <w:autoSpaceDN/>
        <w:bidi w:val="0"/>
        <w:spacing w:line="560" w:lineRule="exact"/>
        <w:ind w:firstLine="644" w:firstLineChars="200"/>
        <w:textAlignment w:val="auto"/>
        <w:rPr>
          <w:rFonts w:hint="eastAsia" w:ascii="黑体" w:hAnsi="黑体" w:eastAsia="黑体" w:cs="黑体"/>
          <w:sz w:val="32"/>
          <w:szCs w:val="32"/>
        </w:rPr>
      </w:pPr>
      <w:r>
        <w:rPr>
          <w:rFonts w:hint="eastAsia" w:ascii="黑体" w:hAnsi="黑体" w:eastAsia="黑体" w:cs="黑体"/>
          <w:sz w:val="32"/>
          <w:szCs w:val="32"/>
        </w:rPr>
        <w:t>一、202</w:t>
      </w:r>
      <w:r>
        <w:rPr>
          <w:rFonts w:hint="eastAsia" w:ascii="黑体" w:hAnsi="黑体" w:eastAsia="黑体" w:cs="黑体"/>
          <w:sz w:val="32"/>
          <w:szCs w:val="32"/>
          <w:lang w:val="en-US" w:eastAsia="zh-CN"/>
        </w:rPr>
        <w:t>4</w:t>
      </w:r>
      <w:r>
        <w:rPr>
          <w:rFonts w:hint="eastAsia" w:ascii="黑体" w:hAnsi="黑体" w:eastAsia="黑体" w:cs="黑体"/>
          <w:sz w:val="32"/>
          <w:szCs w:val="32"/>
        </w:rPr>
        <w:t>年预算绩效管理工作情况</w:t>
      </w:r>
    </w:p>
    <w:p w14:paraId="2396C436">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4" w:firstLineChars="200"/>
        <w:textAlignment w:val="auto"/>
        <w:rPr>
          <w:rFonts w:hint="eastAsia" w:ascii="黑体" w:hAnsi="黑体" w:eastAsia="黑体" w:cs="黑体"/>
          <w:sz w:val="32"/>
          <w:szCs w:val="32"/>
        </w:rPr>
      </w:pPr>
      <w:r>
        <w:rPr>
          <w:rFonts w:hint="eastAsia" w:ascii="仿宋_GB2312" w:hAnsi="仿宋_GB2312" w:eastAsia="仿宋_GB2312" w:cs="仿宋_GB2312"/>
          <w:b/>
          <w:bCs/>
          <w:color w:val="000000"/>
          <w:sz w:val="32"/>
          <w:szCs w:val="32"/>
          <w:lang w:val="en-US" w:eastAsia="zh-CN"/>
        </w:rPr>
        <w:t>一是积极推进事前绩效评估。</w:t>
      </w:r>
      <w:r>
        <w:rPr>
          <w:rFonts w:hint="eastAsia" w:ascii="仿宋_GB2312" w:hAnsi="仿宋_GB2312" w:eastAsia="仿宋_GB2312" w:cs="仿宋_GB2312"/>
          <w:color w:val="000000"/>
          <w:kern w:val="2"/>
          <w:sz w:val="32"/>
          <w:szCs w:val="32"/>
          <w:lang w:val="en-US" w:eastAsia="zh-CN" w:bidi="ar-SA"/>
        </w:rPr>
        <w:t>根据预算申报工作要求，督促预算单位对限额以上</w:t>
      </w:r>
      <w:r>
        <w:rPr>
          <w:rFonts w:hint="eastAsia" w:ascii="仿宋_GB2312" w:hAnsi="仿宋_GB2312" w:eastAsia="仿宋_GB2312" w:cs="仿宋_GB2312"/>
          <w:color w:val="000000"/>
          <w:sz w:val="32"/>
          <w:szCs w:val="32"/>
          <w:lang w:val="en-US" w:eastAsia="zh-CN"/>
        </w:rPr>
        <w:t>新增重大项目组织开展事前绩效评估，对项目立项必要性，实施方案可行性，绩效目标合理性，投入经济性，筹资合规性，预算资金编制准确性等方面进行客观评估。</w:t>
      </w:r>
      <w:r>
        <w:rPr>
          <w:rFonts w:hint="eastAsia" w:ascii="仿宋_GB2312" w:hAnsi="仿宋_GB2312" w:eastAsia="仿宋_GB2312" w:cs="仿宋_GB2312"/>
          <w:b/>
          <w:bCs/>
          <w:sz w:val="32"/>
          <w:szCs w:val="32"/>
          <w:lang w:eastAsia="zh-CN"/>
        </w:rPr>
        <w:t>二是积极开展预算绩效目标审核</w:t>
      </w:r>
      <w:r>
        <w:rPr>
          <w:rFonts w:hint="eastAsia" w:ascii="仿宋_GB2312" w:hAnsi="仿宋_GB2312" w:eastAsia="仿宋_GB2312" w:cs="仿宋_GB2312"/>
          <w:sz w:val="32"/>
          <w:szCs w:val="32"/>
          <w:lang w:eastAsia="zh-CN"/>
        </w:rPr>
        <w:t>。直接面向预算单位</w:t>
      </w:r>
      <w:r>
        <w:rPr>
          <w:rFonts w:hint="eastAsia" w:ascii="仿宋_GB2312" w:hAnsi="仿宋_GB2312" w:eastAsia="仿宋_GB2312" w:cs="仿宋_GB2312"/>
          <w:sz w:val="32"/>
          <w:szCs w:val="32"/>
        </w:rPr>
        <w:t>开展</w:t>
      </w:r>
      <w:r>
        <w:rPr>
          <w:rFonts w:hint="eastAsia" w:ascii="仿宋_GB2312" w:hAnsi="仿宋_GB2312" w:eastAsia="仿宋_GB2312" w:cs="仿宋_GB2312"/>
          <w:sz w:val="32"/>
          <w:szCs w:val="32"/>
          <w:lang w:eastAsia="zh-CN"/>
        </w:rPr>
        <w:t>预算绩效目标</w:t>
      </w:r>
      <w:r>
        <w:rPr>
          <w:rFonts w:hint="eastAsia" w:ascii="仿宋_GB2312" w:hAnsi="仿宋_GB2312" w:eastAsia="仿宋_GB2312" w:cs="仿宋_GB2312"/>
          <w:sz w:val="32"/>
          <w:szCs w:val="32"/>
        </w:rPr>
        <w:t>填报</w:t>
      </w:r>
      <w:r>
        <w:rPr>
          <w:rFonts w:hint="eastAsia" w:ascii="仿宋_GB2312" w:hAnsi="仿宋_GB2312" w:eastAsia="仿宋_GB2312" w:cs="仿宋_GB2312"/>
          <w:sz w:val="32"/>
          <w:szCs w:val="32"/>
          <w:lang w:eastAsia="zh-CN"/>
        </w:rPr>
        <w:t>指导</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从源头上提升预算绩效目标填报质量，压实预算单位绩效管理主体责任。</w:t>
      </w:r>
      <w:r>
        <w:rPr>
          <w:rFonts w:hint="eastAsia" w:ascii="仿宋_GB2312" w:hAnsi="仿宋_GB2312" w:eastAsia="仿宋_GB2312" w:cs="仿宋_GB2312"/>
          <w:sz w:val="32"/>
          <w:szCs w:val="32"/>
        </w:rPr>
        <w:t>按程序</w:t>
      </w:r>
      <w:r>
        <w:rPr>
          <w:rFonts w:hint="eastAsia" w:ascii="仿宋_GB2312" w:hAnsi="仿宋_GB2312" w:eastAsia="仿宋_GB2312" w:cs="仿宋_GB2312"/>
          <w:sz w:val="32"/>
          <w:szCs w:val="32"/>
          <w:lang w:eastAsia="zh-CN"/>
        </w:rPr>
        <w:t>开展</w:t>
      </w:r>
      <w:r>
        <w:rPr>
          <w:rFonts w:hint="eastAsia" w:ascii="仿宋_GB2312" w:hAnsi="仿宋_GB2312" w:eastAsia="仿宋_GB2312" w:cs="仿宋_GB2312"/>
          <w:sz w:val="32"/>
          <w:szCs w:val="32"/>
        </w:rPr>
        <w:t>预算绩效目标</w:t>
      </w:r>
      <w:r>
        <w:rPr>
          <w:rFonts w:hint="eastAsia" w:ascii="仿宋_GB2312" w:hAnsi="仿宋_GB2312" w:eastAsia="仿宋_GB2312" w:cs="仿宋_GB2312"/>
          <w:sz w:val="32"/>
          <w:szCs w:val="32"/>
          <w:lang w:eastAsia="zh-CN"/>
        </w:rPr>
        <w:t>审核</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并与</w:t>
      </w:r>
      <w:r>
        <w:rPr>
          <w:rFonts w:hint="eastAsia" w:ascii="仿宋_GB2312" w:hAnsi="仿宋_GB2312" w:eastAsia="仿宋_GB2312" w:cs="仿宋_GB2312"/>
          <w:sz w:val="32"/>
          <w:szCs w:val="32"/>
        </w:rPr>
        <w:t>预算同步批复</w:t>
      </w:r>
      <w:r>
        <w:rPr>
          <w:rFonts w:hint="eastAsia" w:ascii="仿宋_GB2312" w:hAnsi="仿宋_GB2312" w:eastAsia="仿宋_GB2312" w:cs="仿宋_GB2312"/>
          <w:sz w:val="32"/>
          <w:szCs w:val="32"/>
          <w:lang w:eastAsia="zh-CN"/>
        </w:rPr>
        <w:t>、同步公开</w:t>
      </w: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lang w:eastAsia="zh-CN"/>
        </w:rPr>
        <w:t>三是积极提升绩效自评质量。</w:t>
      </w:r>
      <w:r>
        <w:rPr>
          <w:rFonts w:hint="eastAsia" w:ascii="仿宋_GB2312" w:hAnsi="仿宋_GB2312" w:eastAsia="仿宋_GB2312" w:cs="仿宋_GB2312"/>
          <w:sz w:val="32"/>
          <w:szCs w:val="32"/>
          <w:lang w:eastAsia="zh-CN"/>
        </w:rPr>
        <w:t>督促指导</w:t>
      </w:r>
      <w:r>
        <w:rPr>
          <w:rFonts w:hint="eastAsia" w:ascii="仿宋_GB2312" w:hAnsi="仿宋_GB2312" w:eastAsia="仿宋_GB2312" w:cs="仿宋_GB2312"/>
          <w:sz w:val="32"/>
          <w:szCs w:val="32"/>
        </w:rPr>
        <w:t>各预算单位全面开展绩效自评工作，</w:t>
      </w:r>
      <w:r>
        <w:rPr>
          <w:rFonts w:hint="eastAsia" w:ascii="仿宋_GB2312" w:hAnsi="仿宋_GB2312" w:eastAsia="仿宋_GB2312" w:cs="仿宋_GB2312"/>
          <w:sz w:val="32"/>
          <w:szCs w:val="32"/>
          <w:lang w:val="en-US" w:eastAsia="zh-CN"/>
        </w:rPr>
        <w:t>2023年</w:t>
      </w:r>
      <w:r>
        <w:rPr>
          <w:rFonts w:hint="eastAsia" w:ascii="仿宋_GB2312" w:hAnsi="仿宋_GB2312" w:eastAsia="仿宋_GB2312" w:cs="仿宋_GB2312"/>
          <w:sz w:val="32"/>
          <w:szCs w:val="32"/>
          <w:lang w:eastAsia="zh-CN"/>
        </w:rPr>
        <w:t>全部</w:t>
      </w:r>
      <w:r>
        <w:rPr>
          <w:rFonts w:hint="eastAsia" w:ascii="仿宋_GB2312" w:hAnsi="仿宋_GB2312" w:eastAsia="仿宋_GB2312" w:cs="仿宋_GB2312"/>
          <w:sz w:val="32"/>
          <w:szCs w:val="32"/>
        </w:rPr>
        <w:t>26个预算单位，5</w:t>
      </w:r>
      <w:r>
        <w:rPr>
          <w:rFonts w:hint="eastAsia" w:ascii="仿宋_GB2312" w:hAnsi="仿宋_GB2312" w:eastAsia="仿宋_GB2312" w:cs="仿宋_GB2312"/>
          <w:sz w:val="32"/>
          <w:szCs w:val="32"/>
          <w:lang w:val="en-US" w:eastAsia="zh-CN"/>
        </w:rPr>
        <w:t>43</w:t>
      </w:r>
      <w:r>
        <w:rPr>
          <w:rFonts w:hint="eastAsia" w:ascii="仿宋_GB2312" w:hAnsi="仿宋_GB2312" w:eastAsia="仿宋_GB2312" w:cs="仿宋_GB2312"/>
          <w:sz w:val="32"/>
          <w:szCs w:val="32"/>
        </w:rPr>
        <w:t>个</w:t>
      </w:r>
      <w:r>
        <w:rPr>
          <w:rFonts w:hint="eastAsia" w:ascii="仿宋_GB2312" w:hAnsi="仿宋_GB2312" w:eastAsia="仿宋_GB2312" w:cs="仿宋_GB2312"/>
          <w:sz w:val="32"/>
          <w:szCs w:val="32"/>
          <w:lang w:eastAsia="zh-CN"/>
        </w:rPr>
        <w:t>支出</w:t>
      </w: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eastAsia="zh-CN"/>
        </w:rPr>
        <w:t>，切实做到绩效自评全覆盖。</w:t>
      </w:r>
      <w:r>
        <w:rPr>
          <w:rFonts w:hint="eastAsia" w:ascii="仿宋_GB2312" w:hAnsi="仿宋_GB2312" w:eastAsia="仿宋_GB2312" w:cs="仿宋_GB2312"/>
          <w:sz w:val="32"/>
          <w:szCs w:val="32"/>
          <w:lang w:val="en-US" w:eastAsia="zh-CN"/>
        </w:rPr>
        <w:t>对专项债资金、转移支付资金，以及本级财政100万元以上预算支出项目开展绩效自评复核工作，有效促进各预算单位进一步规范绩效自评工作。</w:t>
      </w:r>
      <w:r>
        <w:rPr>
          <w:rFonts w:hint="eastAsia" w:ascii="仿宋_GB2312" w:hAnsi="仿宋_GB2312" w:eastAsia="仿宋_GB2312" w:cs="仿宋_GB2312"/>
          <w:b/>
          <w:bCs/>
          <w:sz w:val="32"/>
          <w:szCs w:val="32"/>
          <w:lang w:val="en-US" w:eastAsia="zh-CN"/>
        </w:rPr>
        <w:t>四是积极开展财政重点绩效评价工作。</w:t>
      </w:r>
      <w:r>
        <w:rPr>
          <w:rFonts w:hint="eastAsia" w:ascii="仿宋_GB2312" w:hAnsi="仿宋_GB2312" w:eastAsia="仿宋_GB2312" w:cs="仿宋_GB2312"/>
          <w:sz w:val="32"/>
          <w:szCs w:val="32"/>
        </w:rPr>
        <w:t>对2023年省级支持贵安新区开发建设专项资金</w:t>
      </w:r>
      <w:r>
        <w:rPr>
          <w:rFonts w:hint="eastAsia" w:ascii="仿宋_GB2312" w:hAnsi="仿宋_GB2312" w:eastAsia="仿宋_GB2312" w:cs="仿宋_GB2312"/>
          <w:sz w:val="32"/>
          <w:szCs w:val="32"/>
          <w:lang w:eastAsia="zh-CN"/>
        </w:rPr>
        <w:t>开展</w:t>
      </w:r>
      <w:r>
        <w:rPr>
          <w:rFonts w:hint="eastAsia" w:ascii="仿宋_GB2312" w:hAnsi="仿宋_GB2312" w:eastAsia="仿宋_GB2312" w:cs="仿宋_GB2312"/>
          <w:sz w:val="32"/>
          <w:szCs w:val="32"/>
        </w:rPr>
        <w:t>财政重点绩效评价工作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涉及预算资金总额26.99亿元</w:t>
      </w:r>
      <w:r>
        <w:rPr>
          <w:rFonts w:hint="eastAsia" w:ascii="仿宋_GB2312" w:hAnsi="仿宋_GB2312" w:eastAsia="仿宋_GB2312" w:cs="仿宋_GB2312"/>
          <w:sz w:val="32"/>
          <w:szCs w:val="32"/>
          <w:lang w:eastAsia="zh-CN"/>
        </w:rPr>
        <w:t>，综合绩效评价结果</w:t>
      </w:r>
      <w:r>
        <w:rPr>
          <w:rFonts w:hint="eastAsia" w:ascii="仿宋_GB2312" w:hAnsi="仿宋_GB2312" w:eastAsia="仿宋_GB2312" w:cs="仿宋_GB2312"/>
          <w:sz w:val="32"/>
          <w:szCs w:val="32"/>
          <w:lang w:val="en-US" w:eastAsia="zh-CN"/>
        </w:rPr>
        <w:t>等级为“优”。</w:t>
      </w:r>
      <w:r>
        <w:rPr>
          <w:rFonts w:hint="eastAsia" w:ascii="仿宋_GB2312" w:hAnsi="仿宋_GB2312" w:eastAsia="仿宋_GB2312" w:cs="仿宋_GB2312"/>
          <w:b/>
          <w:bCs/>
          <w:sz w:val="32"/>
          <w:szCs w:val="32"/>
          <w:lang w:eastAsia="zh-CN"/>
        </w:rPr>
        <w:t>五是积极开展绩效结果运用。</w:t>
      </w:r>
      <w:r>
        <w:rPr>
          <w:rFonts w:hint="eastAsia" w:ascii="仿宋_GB2312" w:hAnsi="仿宋_GB2312" w:eastAsia="仿宋_GB2312" w:cs="仿宋_GB2312"/>
          <w:b w:val="0"/>
          <w:bCs w:val="0"/>
          <w:sz w:val="32"/>
          <w:szCs w:val="32"/>
          <w:lang w:eastAsia="zh-CN"/>
        </w:rPr>
        <w:t>结</w:t>
      </w:r>
      <w:r>
        <w:rPr>
          <w:rFonts w:hint="eastAsia" w:ascii="仿宋_GB2312" w:hAnsi="仿宋_GB2312" w:eastAsia="仿宋_GB2312" w:cs="仿宋_GB2312"/>
          <w:b w:val="0"/>
          <w:bCs w:val="0"/>
          <w:sz w:val="32"/>
          <w:szCs w:val="32"/>
          <w:lang w:val="en-US" w:eastAsia="zh-CN"/>
        </w:rPr>
        <w:t>合</w:t>
      </w:r>
      <w:r>
        <w:rPr>
          <w:rFonts w:hint="eastAsia" w:ascii="仿宋_GB2312" w:hAnsi="仿宋_GB2312" w:eastAsia="仿宋_GB2312" w:cs="仿宋_GB2312"/>
          <w:b w:val="0"/>
          <w:bCs w:val="0"/>
          <w:sz w:val="32"/>
          <w:szCs w:val="32"/>
          <w:lang w:eastAsia="zh-CN"/>
        </w:rPr>
        <w:t>重点绩效评价结果积极推进问题整改，对绩效评价</w:t>
      </w:r>
      <w:r>
        <w:rPr>
          <w:rFonts w:hint="eastAsia" w:ascii="仿宋_GB2312" w:hAnsi="仿宋_GB2312" w:eastAsia="仿宋_GB2312" w:cs="仿宋_GB2312"/>
          <w:b w:val="0"/>
          <w:bCs w:val="0"/>
          <w:sz w:val="32"/>
          <w:szCs w:val="32"/>
          <w:lang w:val="en-US" w:eastAsia="zh-CN"/>
        </w:rPr>
        <w:t>结果</w:t>
      </w:r>
      <w:r>
        <w:rPr>
          <w:rFonts w:hint="eastAsia" w:ascii="仿宋_GB2312" w:hAnsi="仿宋_GB2312" w:eastAsia="仿宋_GB2312" w:cs="仿宋_GB2312"/>
          <w:b w:val="0"/>
          <w:bCs w:val="0"/>
          <w:sz w:val="32"/>
          <w:szCs w:val="32"/>
          <w:lang w:eastAsia="zh-CN"/>
        </w:rPr>
        <w:t>等次不高的“市政道路市政设施管护农村环卫一体化项目”压减</w:t>
      </w:r>
      <w:r>
        <w:rPr>
          <w:rFonts w:hint="eastAsia" w:ascii="仿宋_GB2312" w:hAnsi="仿宋_GB2312" w:eastAsia="仿宋_GB2312" w:cs="仿宋_GB2312"/>
          <w:b w:val="0"/>
          <w:bCs w:val="0"/>
          <w:sz w:val="32"/>
          <w:szCs w:val="32"/>
          <w:lang w:val="en-US" w:eastAsia="zh-CN"/>
        </w:rPr>
        <w:t>2025年预算资金安排0.93亿元。</w:t>
      </w:r>
      <w:r>
        <w:rPr>
          <w:rFonts w:hint="eastAsia" w:ascii="仿宋_GB2312" w:hAnsi="仿宋_GB2312" w:eastAsia="仿宋_GB2312" w:cs="仿宋_GB2312"/>
          <w:b/>
          <w:bCs/>
          <w:sz w:val="32"/>
          <w:szCs w:val="32"/>
          <w:lang w:val="en-US" w:eastAsia="zh-CN"/>
        </w:rPr>
        <w:t>六是</w:t>
      </w:r>
      <w:r>
        <w:rPr>
          <w:rFonts w:hint="eastAsia" w:ascii="仿宋_GB2312" w:hAnsi="仿宋_GB2312" w:eastAsia="仿宋_GB2312" w:cs="仿宋_GB2312"/>
          <w:b/>
          <w:bCs/>
          <w:sz w:val="32"/>
          <w:szCs w:val="32"/>
          <w:lang w:eastAsia="zh-CN"/>
        </w:rPr>
        <w:t>积极推动信息公开。</w:t>
      </w:r>
      <w:r>
        <w:rPr>
          <w:rFonts w:hint="eastAsia" w:ascii="仿宋_GB2312" w:hAnsi="仿宋_GB2312" w:eastAsia="仿宋_GB2312" w:cs="仿宋_GB2312"/>
          <w:sz w:val="32"/>
          <w:szCs w:val="32"/>
          <w:lang w:eastAsia="zh-CN"/>
        </w:rPr>
        <w:t>新区各预算单位均按照信息公开的要求，</w:t>
      </w:r>
      <w:r>
        <w:rPr>
          <w:rFonts w:hint="eastAsia" w:ascii="仿宋_GB2312" w:hAnsi="仿宋_GB2312" w:eastAsia="仿宋_GB2312" w:cs="仿宋_GB2312"/>
          <w:sz w:val="32"/>
          <w:szCs w:val="32"/>
        </w:rPr>
        <w:t>在规定时限内完成绩效目标</w:t>
      </w:r>
      <w:r>
        <w:rPr>
          <w:rFonts w:hint="eastAsia" w:ascii="仿宋_GB2312" w:hAnsi="仿宋_GB2312" w:eastAsia="仿宋_GB2312" w:cs="仿宋_GB2312"/>
          <w:sz w:val="32"/>
          <w:szCs w:val="32"/>
          <w:lang w:eastAsia="zh-CN"/>
        </w:rPr>
        <w:t>和绩效自评结果</w:t>
      </w:r>
      <w:r>
        <w:rPr>
          <w:rFonts w:hint="eastAsia" w:ascii="仿宋_GB2312" w:hAnsi="仿宋_GB2312" w:eastAsia="仿宋_GB2312" w:cs="仿宋_GB2312"/>
          <w:sz w:val="32"/>
          <w:szCs w:val="32"/>
        </w:rPr>
        <w:t>公开工作。</w:t>
      </w:r>
    </w:p>
    <w:p w14:paraId="6D0869D4">
      <w:pPr>
        <w:keepNext w:val="0"/>
        <w:keepLines w:val="0"/>
        <w:pageBreakBefore w:val="0"/>
        <w:widowControl w:val="0"/>
        <w:kinsoku/>
        <w:wordWrap/>
        <w:overflowPunct/>
        <w:topLinePunct w:val="0"/>
        <w:autoSpaceDE/>
        <w:autoSpaceDN/>
        <w:bidi w:val="0"/>
        <w:spacing w:line="560" w:lineRule="exact"/>
        <w:ind w:firstLine="644" w:firstLineChars="200"/>
        <w:textAlignment w:val="auto"/>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w:t>
      </w:r>
      <w:r>
        <w:rPr>
          <w:rFonts w:hint="eastAsia" w:ascii="黑体" w:hAnsi="黑体" w:eastAsia="黑体" w:cs="黑体"/>
          <w:sz w:val="32"/>
          <w:szCs w:val="32"/>
        </w:rPr>
        <w:t>、202</w:t>
      </w:r>
      <w:r>
        <w:rPr>
          <w:rFonts w:hint="eastAsia" w:ascii="黑体" w:hAnsi="黑体" w:eastAsia="黑体" w:cs="黑体"/>
          <w:sz w:val="32"/>
          <w:szCs w:val="32"/>
          <w:lang w:val="en-US" w:eastAsia="zh-CN"/>
        </w:rPr>
        <w:t>5</w:t>
      </w:r>
      <w:r>
        <w:rPr>
          <w:rFonts w:hint="eastAsia" w:ascii="黑体" w:hAnsi="黑体" w:eastAsia="黑体" w:cs="黑体"/>
          <w:sz w:val="32"/>
          <w:szCs w:val="32"/>
        </w:rPr>
        <w:t>年部分项目绩效目标工作概述</w:t>
      </w:r>
    </w:p>
    <w:p w14:paraId="17BB93F9">
      <w:pPr>
        <w:keepNext w:val="0"/>
        <w:keepLines w:val="0"/>
        <w:pageBreakBefore w:val="0"/>
        <w:widowControl w:val="0"/>
        <w:kinsoku/>
        <w:wordWrap/>
        <w:overflowPunct/>
        <w:topLinePunct w:val="0"/>
        <w:autoSpaceDE/>
        <w:autoSpaceDN/>
        <w:bidi w:val="0"/>
        <w:spacing w:line="560" w:lineRule="exact"/>
        <w:ind w:firstLine="644" w:firstLineChars="200"/>
        <w:textAlignment w:val="auto"/>
        <w:rPr>
          <w:rFonts w:hint="eastAsia" w:ascii="仿宋_GB2312" w:eastAsia="仿宋_GB2312" w:cs="Times New Roman"/>
          <w:sz w:val="32"/>
          <w:szCs w:val="32"/>
          <w:lang w:val="en-US" w:eastAsia="zh-CN"/>
        </w:rPr>
      </w:pPr>
      <w:r>
        <w:rPr>
          <w:rFonts w:hint="eastAsia" w:ascii="仿宋_GB2312" w:eastAsia="仿宋_GB2312" w:cs="Times New Roman"/>
          <w:sz w:val="32"/>
          <w:szCs w:val="32"/>
        </w:rPr>
        <w:t>在全面编制</w:t>
      </w:r>
      <w:r>
        <w:rPr>
          <w:rFonts w:hint="eastAsia" w:ascii="仿宋_GB2312" w:eastAsia="仿宋_GB2312" w:cs="Times New Roman"/>
          <w:sz w:val="32"/>
          <w:szCs w:val="32"/>
          <w:lang w:eastAsia="zh-CN"/>
        </w:rPr>
        <w:t>新区</w:t>
      </w:r>
      <w:r>
        <w:rPr>
          <w:rFonts w:hint="eastAsia" w:ascii="仿宋_GB2312" w:eastAsia="仿宋_GB2312" w:cs="Times New Roman"/>
          <w:sz w:val="32"/>
          <w:szCs w:val="32"/>
        </w:rPr>
        <w:t>部门项目支出预算绩效目标的基础上，</w:t>
      </w:r>
      <w:r>
        <w:rPr>
          <w:rFonts w:hint="eastAsia" w:ascii="仿宋_GB2312" w:eastAsia="仿宋_GB2312" w:cs="Times New Roman"/>
          <w:sz w:val="32"/>
          <w:szCs w:val="32"/>
          <w:lang w:eastAsia="zh-CN"/>
        </w:rPr>
        <w:t>按照预算绩效信息公开和市人大相关要求，</w:t>
      </w:r>
      <w:r>
        <w:rPr>
          <w:rFonts w:hint="eastAsia" w:ascii="仿宋_GB2312" w:eastAsia="仿宋_GB2312" w:cs="Times New Roman"/>
          <w:sz w:val="32"/>
          <w:szCs w:val="32"/>
        </w:rPr>
        <w:t>选取</w:t>
      </w:r>
      <w:r>
        <w:rPr>
          <w:rFonts w:hint="eastAsia" w:ascii="仿宋_GB2312" w:eastAsia="仿宋_GB2312" w:cs="Times New Roman"/>
          <w:sz w:val="32"/>
          <w:szCs w:val="32"/>
          <w:lang w:eastAsia="zh-CN"/>
        </w:rPr>
        <w:t>了</w:t>
      </w:r>
      <w:r>
        <w:rPr>
          <w:rFonts w:hint="eastAsia" w:ascii="仿宋_GB2312" w:eastAsia="仿宋_GB2312" w:cs="Times New Roman"/>
          <w:sz w:val="32"/>
          <w:szCs w:val="32"/>
          <w:lang w:val="en-US" w:eastAsia="zh-CN"/>
        </w:rPr>
        <w:t>8个</w:t>
      </w:r>
      <w:r>
        <w:rPr>
          <w:rFonts w:hint="eastAsia" w:ascii="仿宋_GB2312" w:eastAsia="仿宋_GB2312" w:cs="Times New Roman"/>
          <w:sz w:val="32"/>
          <w:szCs w:val="32"/>
        </w:rPr>
        <w:t>重点项目</w:t>
      </w:r>
      <w:r>
        <w:rPr>
          <w:rFonts w:hint="eastAsia" w:ascii="仿宋_GB2312" w:eastAsia="仿宋_GB2312" w:cs="Times New Roman"/>
          <w:sz w:val="32"/>
          <w:szCs w:val="32"/>
          <w:lang w:eastAsia="zh-CN"/>
        </w:rPr>
        <w:t>绩效目标提请市人代会审议</w:t>
      </w:r>
      <w:r>
        <w:rPr>
          <w:rFonts w:hint="eastAsia" w:ascii="仿宋_GB2312" w:eastAsia="仿宋_GB2312" w:cs="Times New Roman"/>
          <w:sz w:val="32"/>
          <w:szCs w:val="32"/>
        </w:rPr>
        <w:t>，</w:t>
      </w:r>
      <w:r>
        <w:rPr>
          <w:rFonts w:hint="eastAsia" w:ascii="仿宋_GB2312" w:eastAsia="仿宋_GB2312" w:cs="Times New Roman"/>
          <w:sz w:val="32"/>
          <w:szCs w:val="32"/>
          <w:lang w:eastAsia="zh-CN"/>
        </w:rPr>
        <w:t>集中</w:t>
      </w:r>
      <w:r>
        <w:rPr>
          <w:rFonts w:hint="eastAsia" w:ascii="仿宋_GB2312" w:eastAsia="仿宋_GB2312" w:cs="Times New Roman"/>
          <w:sz w:val="32"/>
          <w:szCs w:val="32"/>
        </w:rPr>
        <w:t>反映</w:t>
      </w:r>
      <w:r>
        <w:rPr>
          <w:rFonts w:hint="eastAsia" w:ascii="仿宋_GB2312" w:eastAsia="仿宋_GB2312" w:cs="Times New Roman"/>
          <w:sz w:val="32"/>
          <w:szCs w:val="32"/>
          <w:lang w:val="en-US" w:eastAsia="zh-CN"/>
        </w:rPr>
        <w:t>新区深入贯彻党的二十届三中全会精神和习近平总书记对贵安新区重要指示精神，紧扣“一极一高地两示范”战略定位，大抓产业、大抓配套，努力推动贵安新区高质量发展“一年一个样，三年大变样”。</w:t>
      </w:r>
      <w:r>
        <w:rPr>
          <w:rFonts w:hint="eastAsia" w:ascii="仿宋_GB2312" w:eastAsia="仿宋_GB2312" w:cs="Times New Roman"/>
          <w:sz w:val="32"/>
          <w:szCs w:val="32"/>
        </w:rPr>
        <w:t>项目绩效情况列示内容主要包括：项目概</w:t>
      </w:r>
      <w:r>
        <w:rPr>
          <w:rFonts w:hint="eastAsia" w:ascii="仿宋_GB2312" w:eastAsia="仿宋_GB2312" w:cs="Times New Roman"/>
          <w:sz w:val="32"/>
          <w:szCs w:val="32"/>
          <w:lang w:eastAsia="zh-CN"/>
        </w:rPr>
        <w:t>述</w:t>
      </w:r>
      <w:r>
        <w:rPr>
          <w:rFonts w:hint="eastAsia" w:ascii="仿宋_GB2312" w:eastAsia="仿宋_GB2312" w:cs="Times New Roman"/>
          <w:sz w:val="32"/>
          <w:szCs w:val="32"/>
        </w:rPr>
        <w:t>、立项依据、实施主体、实施方案、年度预算安排、绩效目标和指标等</w:t>
      </w:r>
      <w:r>
        <w:rPr>
          <w:rFonts w:hint="eastAsia" w:ascii="仿宋_GB2312" w:eastAsia="仿宋_GB2312" w:cs="Times New Roman"/>
          <w:sz w:val="32"/>
          <w:szCs w:val="32"/>
          <w:lang w:eastAsia="zh-CN"/>
        </w:rPr>
        <w:t>。</w:t>
      </w:r>
      <w:r>
        <w:rPr>
          <w:rFonts w:hint="eastAsia" w:ascii="仿宋_GB2312" w:hAnsi="仿宋_GB2312" w:eastAsia="仿宋_GB2312" w:cs="仿宋_GB2312"/>
          <w:sz w:val="32"/>
          <w:szCs w:val="32"/>
          <w:lang w:val="en-US" w:eastAsia="zh-CN"/>
        </w:rPr>
        <w:t>该批项目涉及卫生、教育、交通、农业、环保、安全、产业扶持等领</w:t>
      </w:r>
      <w:r>
        <w:rPr>
          <w:rFonts w:hint="eastAsia" w:ascii="仿宋_GB2312" w:eastAsia="仿宋_GB2312" w:cs="Times New Roman"/>
          <w:sz w:val="32"/>
          <w:szCs w:val="32"/>
          <w:lang w:val="en-US" w:eastAsia="zh-CN"/>
        </w:rPr>
        <w:t>域，总预算资金4164.87万元。</w:t>
      </w:r>
    </w:p>
    <w:p w14:paraId="66A5695A">
      <w:pPr>
        <w:keepNext w:val="0"/>
        <w:keepLines w:val="0"/>
        <w:pageBreakBefore w:val="0"/>
        <w:widowControl w:val="0"/>
        <w:kinsoku/>
        <w:wordWrap/>
        <w:overflowPunct/>
        <w:topLinePunct w:val="0"/>
        <w:autoSpaceDE/>
        <w:autoSpaceDN/>
        <w:bidi w:val="0"/>
        <w:spacing w:line="560" w:lineRule="exact"/>
        <w:ind w:firstLine="644"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三、下步工作打算</w:t>
      </w:r>
    </w:p>
    <w:p w14:paraId="140D2DFC">
      <w:pPr>
        <w:keepNext w:val="0"/>
        <w:keepLines w:val="0"/>
        <w:pageBreakBefore w:val="0"/>
        <w:widowControl w:val="0"/>
        <w:kinsoku/>
        <w:wordWrap/>
        <w:overflowPunct/>
        <w:topLinePunct w:val="0"/>
        <w:autoSpaceDE/>
        <w:autoSpaceDN/>
        <w:bidi w:val="0"/>
        <w:spacing w:line="560" w:lineRule="exact"/>
        <w:ind w:firstLine="644" w:firstLineChars="200"/>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bCs/>
          <w:color w:val="auto"/>
          <w:kern w:val="2"/>
          <w:sz w:val="32"/>
          <w:szCs w:val="32"/>
          <w:lang w:val="en-US" w:eastAsia="zh-CN" w:bidi="ar-SA"/>
        </w:rPr>
        <w:t>一是强化预算管理与绩效管理的紧密联系。</w:t>
      </w:r>
      <w:r>
        <w:rPr>
          <w:rFonts w:hint="eastAsia" w:ascii="仿宋_GB2312" w:hAnsi="仿宋_GB2312" w:eastAsia="仿宋_GB2312" w:cs="仿宋_GB2312"/>
          <w:b w:val="0"/>
          <w:bCs w:val="0"/>
          <w:color w:val="auto"/>
          <w:kern w:val="2"/>
          <w:sz w:val="32"/>
          <w:szCs w:val="32"/>
          <w:lang w:val="en-US" w:eastAsia="zh-CN" w:bidi="ar-SA"/>
        </w:rPr>
        <w:t>在预算编制环节，以绩效目标为导向确定资金规模与用途；在预算执行过程中，及时发现资金使用偏差对绩效目标达成度的影响并予以纠正；在决算阶段，全面评价预算资金使用效益与绩效成果，将绩效评价结果作为资金分配调整、优化资源配置的关键依据，从而形成预算管理与绩效管理相互促进、协同增效的良性循环。</w:t>
      </w:r>
    </w:p>
    <w:p w14:paraId="4A63F25E">
      <w:pPr>
        <w:pStyle w:val="6"/>
        <w:keepNext w:val="0"/>
        <w:keepLines w:val="0"/>
        <w:pageBreakBefore w:val="0"/>
        <w:widowControl w:val="0"/>
        <w:kinsoku/>
        <w:wordWrap/>
        <w:overflowPunct/>
        <w:topLinePunct w:val="0"/>
        <w:autoSpaceDE/>
        <w:autoSpaceDN/>
        <w:bidi w:val="0"/>
        <w:spacing w:line="560" w:lineRule="exact"/>
        <w:ind w:left="0" w:leftChars="0" w:firstLine="640" w:firstLineChars="0"/>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bCs/>
          <w:color w:val="auto"/>
          <w:kern w:val="2"/>
          <w:sz w:val="32"/>
          <w:szCs w:val="32"/>
          <w:lang w:val="en-US" w:eastAsia="zh-CN" w:bidi="ar-SA"/>
        </w:rPr>
        <w:t>二是强化事前绩效评估。</w:t>
      </w:r>
      <w:r>
        <w:rPr>
          <w:rFonts w:hint="eastAsia" w:ascii="仿宋_GB2312" w:hAnsi="仿宋_GB2312" w:eastAsia="仿宋_GB2312" w:cs="仿宋_GB2312"/>
          <w:b w:val="0"/>
          <w:bCs w:val="0"/>
          <w:color w:val="auto"/>
          <w:kern w:val="2"/>
          <w:sz w:val="32"/>
          <w:szCs w:val="32"/>
          <w:lang w:val="en-US" w:eastAsia="zh-CN" w:bidi="ar-SA"/>
        </w:rPr>
        <w:t>将绩效管理工作重心前移，进一步规范事前绩效评估，新增项目必须通过事前绩效评估才能进入预算项目库，将事前评估结果作为绩效目标审核的支撑材料，从源头上抓实、抓好绩效目标管理这个基础环节。</w:t>
      </w:r>
    </w:p>
    <w:p w14:paraId="3725D047">
      <w:pPr>
        <w:keepNext w:val="0"/>
        <w:keepLines w:val="0"/>
        <w:pageBreakBefore w:val="0"/>
        <w:widowControl w:val="0"/>
        <w:kinsoku/>
        <w:wordWrap/>
        <w:overflowPunct/>
        <w:topLinePunct w:val="0"/>
        <w:autoSpaceDE/>
        <w:autoSpaceDN/>
        <w:bidi w:val="0"/>
        <w:spacing w:line="560" w:lineRule="exact"/>
        <w:ind w:firstLine="64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color w:val="000000"/>
          <w:sz w:val="32"/>
          <w:szCs w:val="32"/>
          <w:lang w:val="en-US" w:eastAsia="zh-CN"/>
        </w:rPr>
        <w:t>三是</w:t>
      </w:r>
      <w:r>
        <w:rPr>
          <w:rFonts w:hint="eastAsia" w:ascii="仿宋_GB2312" w:hAnsi="仿宋_GB2312" w:eastAsia="仿宋_GB2312" w:cs="仿宋_GB2312"/>
          <w:b/>
          <w:bCs/>
          <w:color w:val="000000"/>
          <w:sz w:val="32"/>
          <w:szCs w:val="32"/>
        </w:rPr>
        <w:t>强化</w:t>
      </w:r>
      <w:r>
        <w:rPr>
          <w:rFonts w:hint="eastAsia" w:ascii="仿宋_GB2312" w:hAnsi="仿宋_GB2312" w:eastAsia="仿宋_GB2312" w:cs="仿宋_GB2312"/>
          <w:b/>
          <w:bCs/>
          <w:color w:val="000000"/>
          <w:sz w:val="32"/>
          <w:szCs w:val="32"/>
          <w:lang w:eastAsia="zh-CN"/>
        </w:rPr>
        <w:t>绩效责任意识。</w:t>
      </w:r>
      <w:r>
        <w:rPr>
          <w:rFonts w:hint="eastAsia" w:ascii="仿宋_GB2312" w:hAnsi="仿宋_GB2312" w:eastAsia="仿宋_GB2312" w:cs="仿宋_GB2312"/>
          <w:color w:val="000000"/>
          <w:sz w:val="32"/>
          <w:szCs w:val="32"/>
          <w:lang w:eastAsia="zh-CN"/>
        </w:rPr>
        <w:t>持续开展业务培训，推动各预算单位深入</w:t>
      </w:r>
      <w:r>
        <w:rPr>
          <w:rFonts w:hint="eastAsia" w:ascii="仿宋_GB2312" w:hAnsi="仿宋_GB2312" w:eastAsia="仿宋_GB2312" w:cs="仿宋_GB2312"/>
          <w:color w:val="000000"/>
          <w:sz w:val="32"/>
          <w:szCs w:val="32"/>
        </w:rPr>
        <w:t>学习预算绩效管理的</w:t>
      </w:r>
      <w:r>
        <w:rPr>
          <w:rFonts w:hint="eastAsia" w:ascii="仿宋_GB2312" w:hAnsi="仿宋_GB2312" w:eastAsia="仿宋_GB2312" w:cs="仿宋_GB2312"/>
          <w:color w:val="000000"/>
          <w:sz w:val="32"/>
          <w:szCs w:val="32"/>
          <w:lang w:eastAsia="zh-CN"/>
        </w:rPr>
        <w:t>相关政策制度</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eastAsia="zh-CN"/>
        </w:rPr>
        <w:t>强化提升预算绩效管理工作机制，进一步细化、落实绩效管理责任，</w:t>
      </w:r>
      <w:r>
        <w:rPr>
          <w:rFonts w:hint="eastAsia" w:ascii="仿宋_GB2312" w:hAnsi="仿宋_GB2312" w:eastAsia="仿宋_GB2312" w:cs="仿宋_GB2312"/>
          <w:color w:val="auto"/>
          <w:kern w:val="2"/>
          <w:sz w:val="32"/>
          <w:szCs w:val="32"/>
          <w:lang w:val="en-US" w:eastAsia="zh-CN" w:bidi="ar-SA"/>
        </w:rPr>
        <w:t>牢固树立</w:t>
      </w:r>
      <w:r>
        <w:rPr>
          <w:rFonts w:hint="eastAsia" w:ascii="仿宋_GB2312" w:hAnsi="仿宋_GB2312" w:eastAsia="仿宋_GB2312" w:cs="仿宋_GB2312"/>
          <w:b w:val="0"/>
          <w:bCs w:val="0"/>
          <w:color w:val="auto"/>
          <w:kern w:val="2"/>
          <w:sz w:val="32"/>
          <w:szCs w:val="32"/>
          <w:lang w:val="en-US" w:eastAsia="zh-CN" w:bidi="ar-SA"/>
        </w:rPr>
        <w:t>绩效管理理念。</w:t>
      </w:r>
    </w:p>
    <w:p w14:paraId="725C4CF1">
      <w:pPr>
        <w:ind w:firstLine="644" w:firstLineChars="200"/>
        <w:rPr>
          <w:rFonts w:hint="eastAsia" w:ascii="仿宋_GB2312" w:hAnsi="仿宋_GB2312" w:eastAsia="仿宋_GB2312" w:cs="仿宋_GB2312"/>
          <w:sz w:val="32"/>
          <w:szCs w:val="32"/>
        </w:rPr>
      </w:pPr>
    </w:p>
    <w:p w14:paraId="5F24EE30">
      <w:pPr>
        <w:rPr>
          <w:rFonts w:hint="eastAsia" w:ascii="微软雅黑" w:hAnsi="微软雅黑" w:eastAsia="微软雅黑" w:cs="微软雅黑"/>
          <w:bCs/>
          <w:sz w:val="44"/>
          <w:szCs w:val="44"/>
          <w:lang w:eastAsia="zh-CN"/>
        </w:rPr>
      </w:pPr>
      <w:r>
        <w:rPr>
          <w:rFonts w:hint="eastAsia" w:ascii="微软雅黑" w:hAnsi="微软雅黑" w:eastAsia="微软雅黑" w:cs="微软雅黑"/>
          <w:bCs/>
          <w:sz w:val="44"/>
          <w:szCs w:val="44"/>
          <w:lang w:eastAsia="zh-CN"/>
        </w:rPr>
        <w:br w:type="page"/>
      </w:r>
    </w:p>
    <w:p w14:paraId="6ED722B3">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微软雅黑" w:hAnsi="微软雅黑" w:eastAsia="微软雅黑" w:cs="微软雅黑"/>
          <w:b w:val="0"/>
          <w:bCs/>
          <w:color w:val="000000"/>
          <w:sz w:val="44"/>
          <w:szCs w:val="44"/>
          <w:highlight w:val="none"/>
        </w:rPr>
      </w:pPr>
      <w:r>
        <w:rPr>
          <w:rFonts w:hint="eastAsia" w:ascii="微软雅黑" w:hAnsi="微软雅黑" w:eastAsia="微软雅黑" w:cs="微软雅黑"/>
          <w:b w:val="0"/>
          <w:bCs/>
          <w:i w:val="0"/>
          <w:color w:val="000000"/>
          <w:kern w:val="0"/>
          <w:sz w:val="44"/>
          <w:szCs w:val="44"/>
          <w:highlight w:val="none"/>
          <w:u w:val="none"/>
          <w:lang w:val="en-US" w:eastAsia="zh-CN" w:bidi="ar"/>
        </w:rPr>
        <w:t>贵安新区2025年市人代会审议项目情况表</w:t>
      </w:r>
    </w:p>
    <w:tbl>
      <w:tblPr>
        <w:tblStyle w:val="10"/>
        <w:tblW w:w="1482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718"/>
        <w:gridCol w:w="1125"/>
        <w:gridCol w:w="4092"/>
        <w:gridCol w:w="5561"/>
        <w:gridCol w:w="1337"/>
        <w:gridCol w:w="1995"/>
      </w:tblGrid>
      <w:tr w14:paraId="3C14E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9" w:hRule="atLeast"/>
          <w:tblHeader/>
        </w:trPr>
        <w:tc>
          <w:tcPr>
            <w:tcW w:w="7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9AF5D8">
            <w:pPr>
              <w:keepNext w:val="0"/>
              <w:keepLines w:val="0"/>
              <w:widowControl/>
              <w:suppressLineNumbers w:val="0"/>
              <w:jc w:val="center"/>
              <w:textAlignment w:val="center"/>
              <w:rPr>
                <w:rFonts w:hint="eastAsia" w:ascii="黑体" w:hAnsi="黑体" w:eastAsia="黑体" w:cs="黑体"/>
                <w:b w:val="0"/>
                <w:bCs/>
                <w:i w:val="0"/>
                <w:color w:val="000000"/>
                <w:sz w:val="20"/>
                <w:szCs w:val="20"/>
                <w:highlight w:val="none"/>
                <w:u w:val="none"/>
              </w:rPr>
            </w:pPr>
            <w:r>
              <w:rPr>
                <w:rFonts w:hint="eastAsia" w:ascii="黑体" w:hAnsi="黑体" w:eastAsia="黑体" w:cs="黑体"/>
                <w:b w:val="0"/>
                <w:bCs/>
                <w:i w:val="0"/>
                <w:color w:val="000000"/>
                <w:kern w:val="0"/>
                <w:sz w:val="20"/>
                <w:szCs w:val="20"/>
                <w:highlight w:val="none"/>
                <w:u w:val="none"/>
                <w:lang w:val="en-US" w:eastAsia="zh-CN" w:bidi="ar"/>
              </w:rPr>
              <w:t>序号</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F10FD5">
            <w:pPr>
              <w:keepNext w:val="0"/>
              <w:keepLines w:val="0"/>
              <w:widowControl/>
              <w:suppressLineNumbers w:val="0"/>
              <w:jc w:val="center"/>
              <w:textAlignment w:val="center"/>
              <w:rPr>
                <w:rFonts w:hint="eastAsia" w:ascii="黑体" w:hAnsi="黑体" w:eastAsia="黑体" w:cs="黑体"/>
                <w:b w:val="0"/>
                <w:bCs/>
                <w:i w:val="0"/>
                <w:color w:val="000000"/>
                <w:sz w:val="20"/>
                <w:szCs w:val="20"/>
                <w:highlight w:val="none"/>
                <w:u w:val="none"/>
              </w:rPr>
            </w:pPr>
            <w:r>
              <w:rPr>
                <w:rFonts w:hint="eastAsia" w:ascii="黑体" w:hAnsi="黑体" w:eastAsia="黑体" w:cs="黑体"/>
                <w:b w:val="0"/>
                <w:bCs/>
                <w:i w:val="0"/>
                <w:color w:val="000000"/>
                <w:kern w:val="0"/>
                <w:sz w:val="20"/>
                <w:szCs w:val="20"/>
                <w:highlight w:val="none"/>
                <w:u w:val="none"/>
                <w:lang w:val="en-US" w:eastAsia="zh-CN" w:bidi="ar"/>
              </w:rPr>
              <w:t>部门编码</w:t>
            </w:r>
          </w:p>
        </w:tc>
        <w:tc>
          <w:tcPr>
            <w:tcW w:w="40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DE3589">
            <w:pPr>
              <w:keepNext w:val="0"/>
              <w:keepLines w:val="0"/>
              <w:widowControl/>
              <w:suppressLineNumbers w:val="0"/>
              <w:jc w:val="center"/>
              <w:textAlignment w:val="center"/>
              <w:rPr>
                <w:rFonts w:hint="eastAsia" w:ascii="黑体" w:hAnsi="黑体" w:eastAsia="黑体" w:cs="黑体"/>
                <w:b w:val="0"/>
                <w:bCs/>
                <w:i w:val="0"/>
                <w:color w:val="000000"/>
                <w:sz w:val="20"/>
                <w:szCs w:val="20"/>
                <w:highlight w:val="none"/>
                <w:u w:val="none"/>
              </w:rPr>
            </w:pPr>
            <w:r>
              <w:rPr>
                <w:rFonts w:hint="eastAsia" w:ascii="黑体" w:hAnsi="黑体" w:eastAsia="黑体" w:cs="黑体"/>
                <w:b w:val="0"/>
                <w:bCs/>
                <w:i w:val="0"/>
                <w:color w:val="000000"/>
                <w:kern w:val="0"/>
                <w:sz w:val="20"/>
                <w:szCs w:val="20"/>
                <w:highlight w:val="none"/>
                <w:u w:val="none"/>
                <w:lang w:val="en-US" w:eastAsia="zh-CN" w:bidi="ar"/>
              </w:rPr>
              <w:t>部门名称</w:t>
            </w:r>
          </w:p>
        </w:tc>
        <w:tc>
          <w:tcPr>
            <w:tcW w:w="55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CE5C30">
            <w:pPr>
              <w:keepNext w:val="0"/>
              <w:keepLines w:val="0"/>
              <w:widowControl/>
              <w:suppressLineNumbers w:val="0"/>
              <w:jc w:val="center"/>
              <w:textAlignment w:val="center"/>
              <w:rPr>
                <w:rFonts w:hint="eastAsia" w:ascii="黑体" w:hAnsi="黑体" w:eastAsia="黑体" w:cs="黑体"/>
                <w:b w:val="0"/>
                <w:bCs/>
                <w:i w:val="0"/>
                <w:color w:val="000000"/>
                <w:sz w:val="20"/>
                <w:szCs w:val="20"/>
                <w:highlight w:val="none"/>
                <w:u w:val="none"/>
              </w:rPr>
            </w:pPr>
            <w:r>
              <w:rPr>
                <w:rFonts w:hint="eastAsia" w:ascii="黑体" w:hAnsi="黑体" w:eastAsia="黑体" w:cs="黑体"/>
                <w:b w:val="0"/>
                <w:bCs/>
                <w:i w:val="0"/>
                <w:color w:val="000000"/>
                <w:kern w:val="0"/>
                <w:sz w:val="20"/>
                <w:szCs w:val="20"/>
                <w:highlight w:val="none"/>
                <w:u w:val="none"/>
                <w:lang w:val="en-US" w:eastAsia="zh-CN" w:bidi="ar"/>
              </w:rPr>
              <w:t>项目名称</w:t>
            </w:r>
          </w:p>
        </w:tc>
        <w:tc>
          <w:tcPr>
            <w:tcW w:w="1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AD4105">
            <w:pPr>
              <w:keepNext w:val="0"/>
              <w:keepLines w:val="0"/>
              <w:widowControl/>
              <w:suppressLineNumbers w:val="0"/>
              <w:jc w:val="center"/>
              <w:textAlignment w:val="center"/>
              <w:rPr>
                <w:rFonts w:hint="eastAsia" w:ascii="黑体" w:hAnsi="黑体" w:eastAsia="黑体" w:cs="黑体"/>
                <w:b w:val="0"/>
                <w:bCs/>
                <w:i w:val="0"/>
                <w:color w:val="000000"/>
                <w:sz w:val="20"/>
                <w:szCs w:val="20"/>
                <w:highlight w:val="none"/>
                <w:u w:val="none"/>
              </w:rPr>
            </w:pPr>
            <w:r>
              <w:rPr>
                <w:rFonts w:hint="eastAsia" w:ascii="黑体" w:hAnsi="黑体" w:eastAsia="黑体" w:cs="黑体"/>
                <w:b w:val="0"/>
                <w:bCs/>
                <w:i w:val="0"/>
                <w:color w:val="000000"/>
                <w:kern w:val="0"/>
                <w:sz w:val="20"/>
                <w:szCs w:val="20"/>
                <w:highlight w:val="none"/>
                <w:u w:val="none"/>
                <w:lang w:val="en-US" w:eastAsia="zh-CN" w:bidi="ar"/>
              </w:rPr>
              <w:t>涉及领域</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0E17A2">
            <w:pPr>
              <w:keepNext w:val="0"/>
              <w:keepLines w:val="0"/>
              <w:widowControl/>
              <w:suppressLineNumbers w:val="0"/>
              <w:jc w:val="center"/>
              <w:textAlignment w:val="center"/>
              <w:rPr>
                <w:rFonts w:hint="eastAsia" w:ascii="黑体" w:hAnsi="黑体" w:eastAsia="黑体" w:cs="黑体"/>
                <w:b w:val="0"/>
                <w:bCs/>
                <w:i w:val="0"/>
                <w:color w:val="000000"/>
                <w:sz w:val="20"/>
                <w:szCs w:val="20"/>
                <w:highlight w:val="none"/>
                <w:u w:val="none"/>
              </w:rPr>
            </w:pPr>
            <w:r>
              <w:rPr>
                <w:rFonts w:hint="eastAsia" w:ascii="黑体" w:hAnsi="黑体" w:eastAsia="黑体" w:cs="黑体"/>
                <w:b w:val="0"/>
                <w:bCs/>
                <w:i w:val="0"/>
                <w:color w:val="000000"/>
                <w:kern w:val="0"/>
                <w:sz w:val="20"/>
                <w:szCs w:val="20"/>
                <w:highlight w:val="none"/>
                <w:u w:val="none"/>
                <w:lang w:val="en-US" w:eastAsia="zh-CN" w:bidi="ar"/>
              </w:rPr>
              <w:t>项目金额（万元）</w:t>
            </w:r>
          </w:p>
        </w:tc>
      </w:tr>
      <w:tr w14:paraId="0DAAF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7" w:hRule="atLeast"/>
        </w:trPr>
        <w:tc>
          <w:tcPr>
            <w:tcW w:w="7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598521">
            <w:pPr>
              <w:keepNext w:val="0"/>
              <w:keepLines w:val="0"/>
              <w:widowControl/>
              <w:suppressLineNumbers w:val="0"/>
              <w:jc w:val="center"/>
              <w:textAlignment w:val="center"/>
              <w:rPr>
                <w:rFonts w:hint="eastAsia"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1</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7A4591">
            <w:pPr>
              <w:keepNext w:val="0"/>
              <w:keepLines w:val="0"/>
              <w:widowControl/>
              <w:suppressLineNumbers w:val="0"/>
              <w:jc w:val="center"/>
              <w:textAlignment w:val="center"/>
              <w:rPr>
                <w:rFonts w:hint="eastAsia"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color w:val="auto"/>
                <w:sz w:val="20"/>
                <w:szCs w:val="24"/>
                <w:highlight w:val="none"/>
                <w:lang w:val="en-US" w:eastAsia="zh-CN"/>
              </w:rPr>
              <w:t>864001</w:t>
            </w:r>
          </w:p>
        </w:tc>
        <w:tc>
          <w:tcPr>
            <w:tcW w:w="40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E1158B">
            <w:pPr>
              <w:keepNext w:val="0"/>
              <w:keepLines w:val="0"/>
              <w:widowControl/>
              <w:suppressLineNumbers w:val="0"/>
              <w:jc w:val="center"/>
              <w:textAlignment w:val="center"/>
              <w:rPr>
                <w:rFonts w:hint="eastAsia"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贵州贵安新区管理委员会社会事业管理局</w:t>
            </w:r>
          </w:p>
        </w:tc>
        <w:tc>
          <w:tcPr>
            <w:tcW w:w="55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932E0C">
            <w:pPr>
              <w:keepNext w:val="0"/>
              <w:keepLines w:val="0"/>
              <w:widowControl/>
              <w:suppressLineNumbers w:val="0"/>
              <w:jc w:val="center"/>
              <w:textAlignment w:val="center"/>
              <w:rPr>
                <w:rFonts w:hint="eastAsia"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贵安新区基层卫生机构能力提升建设项目</w:t>
            </w:r>
          </w:p>
        </w:tc>
        <w:tc>
          <w:tcPr>
            <w:tcW w:w="1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F14E5A">
            <w:pPr>
              <w:keepNext w:val="0"/>
              <w:keepLines w:val="0"/>
              <w:widowControl/>
              <w:suppressLineNumbers w:val="0"/>
              <w:jc w:val="center"/>
              <w:textAlignment w:val="center"/>
              <w:rPr>
                <w:rFonts w:hint="eastAsia"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卫生</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7C1679">
            <w:pPr>
              <w:keepNext w:val="0"/>
              <w:keepLines w:val="0"/>
              <w:widowControl/>
              <w:suppressLineNumbers w:val="0"/>
              <w:jc w:val="center"/>
              <w:textAlignment w:val="center"/>
              <w:rPr>
                <w:rFonts w:hint="eastAsia"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145</w:t>
            </w:r>
          </w:p>
        </w:tc>
      </w:tr>
      <w:tr w14:paraId="078A2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7" w:hRule="atLeast"/>
        </w:trPr>
        <w:tc>
          <w:tcPr>
            <w:tcW w:w="7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A9A7F6">
            <w:pPr>
              <w:keepNext w:val="0"/>
              <w:keepLines w:val="0"/>
              <w:widowControl/>
              <w:suppressLineNumbers w:val="0"/>
              <w:jc w:val="center"/>
              <w:textAlignment w:val="center"/>
              <w:rPr>
                <w:rFonts w:hint="eastAsia"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2</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53DCF3">
            <w:pPr>
              <w:keepNext w:val="0"/>
              <w:keepLines w:val="0"/>
              <w:widowControl/>
              <w:suppressLineNumbers w:val="0"/>
              <w:jc w:val="center"/>
              <w:textAlignment w:val="center"/>
              <w:rPr>
                <w:rFonts w:hint="eastAsia"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color w:val="auto"/>
                <w:sz w:val="20"/>
                <w:szCs w:val="24"/>
                <w:highlight w:val="none"/>
                <w:lang w:val="en-US" w:eastAsia="zh-CN"/>
              </w:rPr>
              <w:t>864001</w:t>
            </w:r>
          </w:p>
        </w:tc>
        <w:tc>
          <w:tcPr>
            <w:tcW w:w="40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AE12B3">
            <w:pPr>
              <w:keepNext w:val="0"/>
              <w:keepLines w:val="0"/>
              <w:widowControl/>
              <w:suppressLineNumbers w:val="0"/>
              <w:jc w:val="center"/>
              <w:textAlignment w:val="center"/>
              <w:rPr>
                <w:rFonts w:hint="eastAsia"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贵州贵安新区管理委员会社会事业管理局</w:t>
            </w:r>
          </w:p>
        </w:tc>
        <w:tc>
          <w:tcPr>
            <w:tcW w:w="55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535FAF">
            <w:pPr>
              <w:keepNext w:val="0"/>
              <w:keepLines w:val="0"/>
              <w:widowControl/>
              <w:suppressLineNumbers w:val="0"/>
              <w:jc w:val="center"/>
              <w:textAlignment w:val="center"/>
              <w:rPr>
                <w:rFonts w:hint="default" w:ascii="黑体" w:hAnsi="黑体" w:eastAsia="黑体" w:cs="黑体"/>
                <w:b w:val="0"/>
                <w:bCs/>
                <w:i w:val="0"/>
                <w:color w:val="auto"/>
                <w:kern w:val="0"/>
                <w:sz w:val="20"/>
                <w:szCs w:val="20"/>
                <w:highlight w:val="yellow"/>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农村学前教育儿童营养改善计划项目</w:t>
            </w:r>
          </w:p>
        </w:tc>
        <w:tc>
          <w:tcPr>
            <w:tcW w:w="1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C1391A">
            <w:pPr>
              <w:keepNext w:val="0"/>
              <w:keepLines w:val="0"/>
              <w:widowControl/>
              <w:suppressLineNumbers w:val="0"/>
              <w:jc w:val="center"/>
              <w:textAlignment w:val="center"/>
              <w:rPr>
                <w:rFonts w:hint="eastAsia"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教育</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EDCD1E">
            <w:pPr>
              <w:keepNext w:val="0"/>
              <w:keepLines w:val="0"/>
              <w:widowControl/>
              <w:suppressLineNumbers w:val="0"/>
              <w:jc w:val="center"/>
              <w:textAlignment w:val="center"/>
              <w:rPr>
                <w:rFonts w:hint="eastAsia"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570.2</w:t>
            </w:r>
          </w:p>
        </w:tc>
      </w:tr>
      <w:tr w14:paraId="6F165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7" w:hRule="atLeast"/>
        </w:trPr>
        <w:tc>
          <w:tcPr>
            <w:tcW w:w="7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2B3F29">
            <w:pPr>
              <w:keepNext w:val="0"/>
              <w:keepLines w:val="0"/>
              <w:widowControl/>
              <w:suppressLineNumbers w:val="0"/>
              <w:jc w:val="center"/>
              <w:textAlignment w:val="center"/>
              <w:rPr>
                <w:rFonts w:hint="eastAsia"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3</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6C6C55">
            <w:pPr>
              <w:keepNext w:val="0"/>
              <w:keepLines w:val="0"/>
              <w:widowControl/>
              <w:suppressLineNumbers w:val="0"/>
              <w:jc w:val="center"/>
              <w:textAlignment w:val="center"/>
              <w:rPr>
                <w:rFonts w:hint="eastAsia"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866001</w:t>
            </w:r>
          </w:p>
        </w:tc>
        <w:tc>
          <w:tcPr>
            <w:tcW w:w="40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1206BF">
            <w:pPr>
              <w:keepNext w:val="0"/>
              <w:keepLines w:val="0"/>
              <w:widowControl/>
              <w:suppressLineNumbers w:val="0"/>
              <w:jc w:val="center"/>
              <w:textAlignment w:val="center"/>
              <w:rPr>
                <w:rFonts w:hint="eastAsia"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贵州贵安新区统筹城乡发展局</w:t>
            </w:r>
          </w:p>
        </w:tc>
        <w:tc>
          <w:tcPr>
            <w:tcW w:w="55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15865B">
            <w:pPr>
              <w:keepNext w:val="0"/>
              <w:keepLines w:val="0"/>
              <w:widowControl/>
              <w:suppressLineNumbers w:val="0"/>
              <w:jc w:val="center"/>
              <w:textAlignment w:val="center"/>
              <w:rPr>
                <w:rFonts w:hint="default" w:ascii="黑体" w:hAnsi="黑体" w:eastAsia="黑体" w:cs="黑体"/>
                <w:b w:val="0"/>
                <w:bCs/>
                <w:i w:val="0"/>
                <w:color w:val="auto"/>
                <w:kern w:val="0"/>
                <w:sz w:val="20"/>
                <w:szCs w:val="20"/>
                <w:highlight w:val="yellow"/>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2024年贵安新区“粮+菜”示范基地建设资金项目</w:t>
            </w:r>
          </w:p>
        </w:tc>
        <w:tc>
          <w:tcPr>
            <w:tcW w:w="1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16AE57">
            <w:pPr>
              <w:keepNext w:val="0"/>
              <w:keepLines w:val="0"/>
              <w:widowControl/>
              <w:suppressLineNumbers w:val="0"/>
              <w:jc w:val="center"/>
              <w:textAlignment w:val="center"/>
              <w:rPr>
                <w:rFonts w:hint="eastAsia"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农业</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13901D">
            <w:pPr>
              <w:keepNext w:val="0"/>
              <w:keepLines w:val="0"/>
              <w:widowControl/>
              <w:suppressLineNumbers w:val="0"/>
              <w:jc w:val="center"/>
              <w:textAlignment w:val="center"/>
              <w:rPr>
                <w:rFonts w:hint="eastAsia"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250</w:t>
            </w:r>
          </w:p>
        </w:tc>
      </w:tr>
      <w:tr w14:paraId="350AE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7" w:hRule="atLeast"/>
        </w:trPr>
        <w:tc>
          <w:tcPr>
            <w:tcW w:w="7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E7E9F7">
            <w:pPr>
              <w:keepNext w:val="0"/>
              <w:keepLines w:val="0"/>
              <w:widowControl/>
              <w:suppressLineNumbers w:val="0"/>
              <w:jc w:val="center"/>
              <w:textAlignment w:val="center"/>
              <w:rPr>
                <w:rFonts w:hint="eastAsia"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4</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C78343">
            <w:pPr>
              <w:keepNext w:val="0"/>
              <w:keepLines w:val="0"/>
              <w:widowControl/>
              <w:suppressLineNumbers w:val="0"/>
              <w:jc w:val="center"/>
              <w:textAlignment w:val="center"/>
              <w:rPr>
                <w:rFonts w:hint="eastAsia"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869001</w:t>
            </w:r>
          </w:p>
        </w:tc>
        <w:tc>
          <w:tcPr>
            <w:tcW w:w="40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702E90">
            <w:pPr>
              <w:keepNext w:val="0"/>
              <w:keepLines w:val="0"/>
              <w:widowControl/>
              <w:suppressLineNumbers w:val="0"/>
              <w:jc w:val="center"/>
              <w:textAlignment w:val="center"/>
              <w:rPr>
                <w:rFonts w:hint="eastAsia"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贵州贵安新区公安局交通警察支队</w:t>
            </w:r>
          </w:p>
        </w:tc>
        <w:tc>
          <w:tcPr>
            <w:tcW w:w="55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4421AA">
            <w:pPr>
              <w:keepNext w:val="0"/>
              <w:keepLines w:val="0"/>
              <w:widowControl/>
              <w:suppressLineNumbers w:val="0"/>
              <w:jc w:val="center"/>
              <w:textAlignment w:val="center"/>
              <w:rPr>
                <w:rFonts w:hint="eastAsia"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贵安新区道路交通安全设施及智能交通管理系统保障项目</w:t>
            </w:r>
          </w:p>
        </w:tc>
        <w:tc>
          <w:tcPr>
            <w:tcW w:w="1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5EF34">
            <w:pPr>
              <w:keepNext w:val="0"/>
              <w:keepLines w:val="0"/>
              <w:widowControl/>
              <w:suppressLineNumbers w:val="0"/>
              <w:jc w:val="center"/>
              <w:textAlignment w:val="center"/>
              <w:rPr>
                <w:rFonts w:hint="eastAsia"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交通</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9A75AB">
            <w:pPr>
              <w:keepNext w:val="0"/>
              <w:keepLines w:val="0"/>
              <w:widowControl/>
              <w:suppressLineNumbers w:val="0"/>
              <w:jc w:val="center"/>
              <w:textAlignment w:val="center"/>
              <w:rPr>
                <w:rFonts w:hint="default"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90</w:t>
            </w:r>
          </w:p>
        </w:tc>
      </w:tr>
      <w:tr w14:paraId="07403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7" w:hRule="atLeast"/>
        </w:trPr>
        <w:tc>
          <w:tcPr>
            <w:tcW w:w="7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CB5055">
            <w:pPr>
              <w:keepNext w:val="0"/>
              <w:keepLines w:val="0"/>
              <w:widowControl/>
              <w:suppressLineNumbers w:val="0"/>
              <w:jc w:val="center"/>
              <w:textAlignment w:val="center"/>
              <w:rPr>
                <w:rFonts w:hint="eastAsia"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5</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398A3E">
            <w:pPr>
              <w:keepNext w:val="0"/>
              <w:keepLines w:val="0"/>
              <w:widowControl/>
              <w:suppressLineNumbers w:val="0"/>
              <w:jc w:val="center"/>
              <w:textAlignment w:val="center"/>
              <w:rPr>
                <w:rFonts w:hint="eastAsia"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869001</w:t>
            </w:r>
          </w:p>
        </w:tc>
        <w:tc>
          <w:tcPr>
            <w:tcW w:w="40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18A3BC">
            <w:pPr>
              <w:keepNext w:val="0"/>
              <w:keepLines w:val="0"/>
              <w:widowControl/>
              <w:suppressLineNumbers w:val="0"/>
              <w:jc w:val="center"/>
              <w:textAlignment w:val="center"/>
              <w:rPr>
                <w:rFonts w:hint="eastAsia"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贵州贵安新区公安局交通警察支队</w:t>
            </w:r>
          </w:p>
        </w:tc>
        <w:tc>
          <w:tcPr>
            <w:tcW w:w="55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BA3898">
            <w:pPr>
              <w:keepNext w:val="0"/>
              <w:keepLines w:val="0"/>
              <w:widowControl/>
              <w:suppressLineNumbers w:val="0"/>
              <w:jc w:val="center"/>
              <w:textAlignment w:val="center"/>
              <w:rPr>
                <w:rFonts w:hint="eastAsia"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百马大道与天玑路交叉口交安设施采购项目</w:t>
            </w:r>
          </w:p>
        </w:tc>
        <w:tc>
          <w:tcPr>
            <w:tcW w:w="1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79DC4A">
            <w:pPr>
              <w:keepNext w:val="0"/>
              <w:keepLines w:val="0"/>
              <w:widowControl/>
              <w:suppressLineNumbers w:val="0"/>
              <w:jc w:val="center"/>
              <w:textAlignment w:val="center"/>
              <w:rPr>
                <w:rFonts w:hint="eastAsia"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交通</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060623">
            <w:pPr>
              <w:keepNext w:val="0"/>
              <w:keepLines w:val="0"/>
              <w:widowControl/>
              <w:suppressLineNumbers w:val="0"/>
              <w:jc w:val="center"/>
              <w:textAlignment w:val="center"/>
              <w:rPr>
                <w:rFonts w:hint="eastAsia"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49.67</w:t>
            </w:r>
          </w:p>
        </w:tc>
      </w:tr>
      <w:tr w14:paraId="0DF53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7" w:hRule="atLeast"/>
        </w:trPr>
        <w:tc>
          <w:tcPr>
            <w:tcW w:w="7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05CF6B">
            <w:pPr>
              <w:keepNext w:val="0"/>
              <w:keepLines w:val="0"/>
              <w:widowControl/>
              <w:suppressLineNumbers w:val="0"/>
              <w:jc w:val="center"/>
              <w:textAlignment w:val="center"/>
              <w:rPr>
                <w:rFonts w:hint="eastAsia"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6</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7B920D">
            <w:pPr>
              <w:keepNext w:val="0"/>
              <w:keepLines w:val="0"/>
              <w:widowControl/>
              <w:suppressLineNumbers w:val="0"/>
              <w:jc w:val="center"/>
              <w:textAlignment w:val="center"/>
              <w:rPr>
                <w:rFonts w:hint="eastAsia"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204001</w:t>
            </w:r>
          </w:p>
        </w:tc>
        <w:tc>
          <w:tcPr>
            <w:tcW w:w="40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8D73FB">
            <w:pPr>
              <w:keepNext w:val="0"/>
              <w:keepLines w:val="0"/>
              <w:widowControl/>
              <w:suppressLineNumbers w:val="0"/>
              <w:jc w:val="center"/>
              <w:textAlignment w:val="center"/>
              <w:rPr>
                <w:rFonts w:hint="eastAsia"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贵安新区生态环境局</w:t>
            </w:r>
          </w:p>
        </w:tc>
        <w:tc>
          <w:tcPr>
            <w:tcW w:w="55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98CCC1">
            <w:pPr>
              <w:keepNext w:val="0"/>
              <w:keepLines w:val="0"/>
              <w:widowControl/>
              <w:suppressLineNumbers w:val="0"/>
              <w:jc w:val="center"/>
              <w:textAlignment w:val="center"/>
              <w:rPr>
                <w:rFonts w:hint="default"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农村生活污水处理设施运行维护项目</w:t>
            </w:r>
          </w:p>
        </w:tc>
        <w:tc>
          <w:tcPr>
            <w:tcW w:w="1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B935F6">
            <w:pPr>
              <w:keepNext w:val="0"/>
              <w:keepLines w:val="0"/>
              <w:widowControl/>
              <w:suppressLineNumbers w:val="0"/>
              <w:jc w:val="center"/>
              <w:textAlignment w:val="center"/>
              <w:rPr>
                <w:rFonts w:hint="eastAsia"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环保</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B618F1">
            <w:pPr>
              <w:keepNext w:val="0"/>
              <w:keepLines w:val="0"/>
              <w:widowControl/>
              <w:suppressLineNumbers w:val="0"/>
              <w:jc w:val="center"/>
              <w:textAlignment w:val="center"/>
              <w:rPr>
                <w:rFonts w:hint="eastAsia"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560</w:t>
            </w:r>
          </w:p>
        </w:tc>
      </w:tr>
      <w:tr w14:paraId="0D211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7" w:hRule="atLeast"/>
        </w:trPr>
        <w:tc>
          <w:tcPr>
            <w:tcW w:w="7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A68407">
            <w:pPr>
              <w:keepNext w:val="0"/>
              <w:keepLines w:val="0"/>
              <w:widowControl/>
              <w:suppressLineNumbers w:val="0"/>
              <w:jc w:val="center"/>
              <w:textAlignment w:val="center"/>
              <w:rPr>
                <w:rFonts w:hint="eastAsia"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7</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2ACFF9">
            <w:pPr>
              <w:keepNext w:val="0"/>
              <w:keepLines w:val="0"/>
              <w:widowControl/>
              <w:suppressLineNumbers w:val="0"/>
              <w:jc w:val="center"/>
              <w:textAlignment w:val="center"/>
              <w:rPr>
                <w:rFonts w:hint="eastAsia"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867001</w:t>
            </w:r>
          </w:p>
        </w:tc>
        <w:tc>
          <w:tcPr>
            <w:tcW w:w="40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DB45EE">
            <w:pPr>
              <w:keepNext w:val="0"/>
              <w:keepLines w:val="0"/>
              <w:widowControl/>
              <w:suppressLineNumbers w:val="0"/>
              <w:jc w:val="center"/>
              <w:textAlignment w:val="center"/>
              <w:rPr>
                <w:rFonts w:hint="eastAsia"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贵州贵安新区大数据和科技创新局</w:t>
            </w:r>
          </w:p>
        </w:tc>
        <w:tc>
          <w:tcPr>
            <w:tcW w:w="55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60E93F">
            <w:pPr>
              <w:keepNext w:val="0"/>
              <w:keepLines w:val="0"/>
              <w:widowControl/>
              <w:suppressLineNumbers w:val="0"/>
              <w:jc w:val="center"/>
              <w:textAlignment w:val="center"/>
              <w:rPr>
                <w:rFonts w:hint="eastAsia"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贵安新区公共安全和社会事务视频监控项目</w:t>
            </w:r>
          </w:p>
        </w:tc>
        <w:tc>
          <w:tcPr>
            <w:tcW w:w="1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E75A19">
            <w:pPr>
              <w:keepNext w:val="0"/>
              <w:keepLines w:val="0"/>
              <w:widowControl/>
              <w:suppressLineNumbers w:val="0"/>
              <w:jc w:val="center"/>
              <w:textAlignment w:val="center"/>
              <w:rPr>
                <w:rFonts w:hint="eastAsia"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安全</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798852">
            <w:pPr>
              <w:keepNext w:val="0"/>
              <w:keepLines w:val="0"/>
              <w:widowControl/>
              <w:suppressLineNumbers w:val="0"/>
              <w:jc w:val="center"/>
              <w:textAlignment w:val="center"/>
              <w:rPr>
                <w:rFonts w:hint="eastAsia"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1500</w:t>
            </w:r>
          </w:p>
        </w:tc>
      </w:tr>
      <w:tr w14:paraId="3CFA3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7" w:hRule="atLeast"/>
        </w:trPr>
        <w:tc>
          <w:tcPr>
            <w:tcW w:w="7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D36D87">
            <w:pPr>
              <w:keepNext w:val="0"/>
              <w:keepLines w:val="0"/>
              <w:widowControl/>
              <w:suppressLineNumbers w:val="0"/>
              <w:jc w:val="center"/>
              <w:textAlignment w:val="center"/>
              <w:rPr>
                <w:rFonts w:hint="default"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8</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EC4427">
            <w:pPr>
              <w:keepNext w:val="0"/>
              <w:keepLines w:val="0"/>
              <w:widowControl/>
              <w:suppressLineNumbers w:val="0"/>
              <w:jc w:val="center"/>
              <w:textAlignment w:val="center"/>
              <w:rPr>
                <w:rFonts w:hint="default"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805001</w:t>
            </w:r>
          </w:p>
        </w:tc>
        <w:tc>
          <w:tcPr>
            <w:tcW w:w="40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7E6052">
            <w:pPr>
              <w:keepNext w:val="0"/>
              <w:keepLines w:val="0"/>
              <w:widowControl/>
              <w:suppressLineNumbers w:val="0"/>
              <w:jc w:val="center"/>
              <w:textAlignment w:val="center"/>
              <w:rPr>
                <w:rFonts w:hint="eastAsia"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000000"/>
                <w:kern w:val="0"/>
                <w:sz w:val="20"/>
                <w:szCs w:val="20"/>
                <w:highlight w:val="none"/>
                <w:u w:val="none"/>
                <w:lang w:val="en-US" w:eastAsia="zh-CN" w:bidi="ar"/>
              </w:rPr>
              <w:t>贵州贵安新区管理委员会投资促进局</w:t>
            </w:r>
          </w:p>
        </w:tc>
        <w:tc>
          <w:tcPr>
            <w:tcW w:w="55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0B649B">
            <w:pPr>
              <w:keepNext w:val="0"/>
              <w:keepLines w:val="0"/>
              <w:widowControl/>
              <w:suppressLineNumbers w:val="0"/>
              <w:jc w:val="center"/>
              <w:textAlignment w:val="center"/>
              <w:rPr>
                <w:rFonts w:hint="eastAsia"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华为（贵阳贵安）数字经济创新中心项目</w:t>
            </w:r>
          </w:p>
        </w:tc>
        <w:tc>
          <w:tcPr>
            <w:tcW w:w="1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675106">
            <w:pPr>
              <w:keepNext w:val="0"/>
              <w:keepLines w:val="0"/>
              <w:widowControl/>
              <w:suppressLineNumbers w:val="0"/>
              <w:jc w:val="center"/>
              <w:textAlignment w:val="center"/>
              <w:rPr>
                <w:rFonts w:hint="eastAsia"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产业扶持</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1255AB">
            <w:pPr>
              <w:keepNext w:val="0"/>
              <w:keepLines w:val="0"/>
              <w:widowControl/>
              <w:suppressLineNumbers w:val="0"/>
              <w:jc w:val="center"/>
              <w:textAlignment w:val="center"/>
              <w:rPr>
                <w:rFonts w:hint="default"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1000</w:t>
            </w:r>
          </w:p>
        </w:tc>
      </w:tr>
      <w:tr w14:paraId="37832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8" w:hRule="atLeast"/>
        </w:trPr>
        <w:tc>
          <w:tcPr>
            <w:tcW w:w="12833"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D84B2E">
            <w:pPr>
              <w:keepNext w:val="0"/>
              <w:keepLines w:val="0"/>
              <w:widowControl/>
              <w:suppressLineNumbers w:val="0"/>
              <w:jc w:val="center"/>
              <w:textAlignment w:val="center"/>
              <w:rPr>
                <w:rFonts w:hint="eastAsia"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金额合计</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4A1F60">
            <w:pPr>
              <w:keepNext w:val="0"/>
              <w:keepLines w:val="0"/>
              <w:widowControl/>
              <w:suppressLineNumbers w:val="0"/>
              <w:jc w:val="center"/>
              <w:textAlignment w:val="center"/>
              <w:rPr>
                <w:rFonts w:hint="default" w:ascii="黑体" w:hAnsi="黑体" w:eastAsia="黑体" w:cs="黑体"/>
                <w:b w:val="0"/>
                <w:bCs/>
                <w:i w:val="0"/>
                <w:color w:val="auto"/>
                <w:kern w:val="0"/>
                <w:sz w:val="20"/>
                <w:szCs w:val="20"/>
                <w:highlight w:val="none"/>
                <w:u w:val="none"/>
                <w:lang w:val="en-US" w:eastAsia="zh-CN" w:bidi="ar"/>
              </w:rPr>
            </w:pPr>
            <w:r>
              <w:rPr>
                <w:rFonts w:hint="eastAsia" w:ascii="黑体" w:hAnsi="黑体" w:eastAsia="黑体" w:cs="黑体"/>
                <w:b w:val="0"/>
                <w:bCs/>
                <w:i w:val="0"/>
                <w:color w:val="auto"/>
                <w:kern w:val="0"/>
                <w:sz w:val="20"/>
                <w:szCs w:val="20"/>
                <w:highlight w:val="none"/>
                <w:u w:val="none"/>
                <w:lang w:val="en-US" w:eastAsia="zh-CN" w:bidi="ar"/>
              </w:rPr>
              <w:t>4164.87</w:t>
            </w:r>
          </w:p>
        </w:tc>
      </w:tr>
    </w:tbl>
    <w:p w14:paraId="73CEC661">
      <w:pPr>
        <w:keepNext w:val="0"/>
        <w:keepLines w:val="0"/>
        <w:pageBreakBefore w:val="0"/>
        <w:widowControl w:val="0"/>
        <w:kinsoku/>
        <w:wordWrap/>
        <w:overflowPunct/>
        <w:topLinePunct w:val="0"/>
        <w:autoSpaceDE/>
        <w:autoSpaceDN/>
        <w:bidi w:val="0"/>
        <w:adjustRightInd/>
        <w:snapToGrid/>
        <w:spacing w:line="14" w:lineRule="exact"/>
        <w:textAlignment w:val="auto"/>
        <w:rPr>
          <w:rFonts w:cs="Times New Roman"/>
          <w:color w:val="000000"/>
          <w:szCs w:val="24"/>
          <w:highlight w:val="none"/>
        </w:rPr>
      </w:pPr>
    </w:p>
    <w:p w14:paraId="361EB1B2">
      <w:pPr>
        <w:rPr>
          <w:rFonts w:hint="eastAsia" w:ascii="微软雅黑" w:hAnsi="微软雅黑" w:eastAsia="微软雅黑" w:cs="微软雅黑"/>
          <w:bCs/>
          <w:sz w:val="44"/>
          <w:szCs w:val="44"/>
          <w:lang w:eastAsia="zh-CN"/>
        </w:rPr>
      </w:pPr>
      <w:r>
        <w:rPr>
          <w:rFonts w:hint="eastAsia" w:ascii="微软雅黑" w:hAnsi="微软雅黑" w:eastAsia="微软雅黑" w:cs="微软雅黑"/>
          <w:bCs/>
          <w:sz w:val="44"/>
          <w:szCs w:val="44"/>
          <w:lang w:eastAsia="zh-CN"/>
        </w:rPr>
        <w:br w:type="page"/>
      </w:r>
    </w:p>
    <w:p w14:paraId="626A3DDC">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微软雅黑" w:hAnsi="微软雅黑" w:eastAsia="微软雅黑" w:cs="微软雅黑"/>
          <w:bCs/>
          <w:sz w:val="44"/>
          <w:szCs w:val="44"/>
        </w:rPr>
      </w:pPr>
      <w:r>
        <w:rPr>
          <w:rFonts w:hint="eastAsia" w:ascii="微软雅黑" w:hAnsi="微软雅黑" w:eastAsia="微软雅黑" w:cs="微软雅黑"/>
          <w:bCs/>
          <w:sz w:val="44"/>
          <w:szCs w:val="44"/>
          <w:lang w:eastAsia="zh-CN"/>
        </w:rPr>
        <w:t>项目</w:t>
      </w:r>
      <w:r>
        <w:rPr>
          <w:rFonts w:hint="eastAsia" w:ascii="微软雅黑" w:hAnsi="微软雅黑" w:eastAsia="微软雅黑" w:cs="微软雅黑"/>
          <w:bCs/>
          <w:sz w:val="44"/>
          <w:szCs w:val="44"/>
          <w:lang w:val="en-US" w:eastAsia="zh-CN"/>
        </w:rPr>
        <w:t>1：</w:t>
      </w:r>
      <w:r>
        <w:rPr>
          <w:rFonts w:hint="eastAsia" w:ascii="微软雅黑" w:hAnsi="微软雅黑" w:eastAsia="微软雅黑" w:cs="微软雅黑"/>
          <w:bCs/>
          <w:sz w:val="44"/>
          <w:szCs w:val="44"/>
        </w:rPr>
        <w:t>贵安新区基层卫生机构能力提升建设项目</w:t>
      </w:r>
    </w:p>
    <w:p w14:paraId="01274F9D">
      <w:pPr>
        <w:keepNext w:val="0"/>
        <w:keepLines w:val="0"/>
        <w:pageBreakBefore w:val="0"/>
        <w:widowControl w:val="0"/>
        <w:kinsoku/>
        <w:wordWrap/>
        <w:overflowPunct/>
        <w:topLinePunct w:val="0"/>
        <w:autoSpaceDE/>
        <w:autoSpaceDN/>
        <w:bidi w:val="0"/>
        <w:adjustRightInd/>
        <w:spacing w:line="560" w:lineRule="exact"/>
        <w:jc w:val="center"/>
        <w:textAlignment w:val="auto"/>
        <w:rPr>
          <w:rFonts w:ascii="楷体_GB2312" w:eastAsia="楷体_GB2312" w:cs="楷体_GB2312"/>
          <w:sz w:val="32"/>
          <w:szCs w:val="32"/>
        </w:rPr>
      </w:pPr>
      <w:r>
        <w:rPr>
          <w:rFonts w:hint="eastAsia" w:ascii="楷体_GB2312" w:eastAsia="楷体_GB2312" w:cs="楷体_GB2312"/>
          <w:sz w:val="32"/>
          <w:szCs w:val="32"/>
        </w:rPr>
        <w:t>（贵州贵安新区管理委员会社会事业管理局）</w:t>
      </w:r>
    </w:p>
    <w:p w14:paraId="506256A7">
      <w:pPr>
        <w:keepNext w:val="0"/>
        <w:keepLines w:val="0"/>
        <w:pageBreakBefore w:val="0"/>
        <w:widowControl w:val="0"/>
        <w:kinsoku/>
        <w:wordWrap/>
        <w:overflowPunct/>
        <w:topLinePunct w:val="0"/>
        <w:autoSpaceDE/>
        <w:autoSpaceDN/>
        <w:bidi w:val="0"/>
        <w:adjustRightInd/>
        <w:spacing w:line="560" w:lineRule="exact"/>
        <w:ind w:firstLine="644" w:firstLineChars="200"/>
        <w:textAlignment w:val="auto"/>
        <w:rPr>
          <w:rFonts w:ascii="方正仿宋_GBK" w:eastAsia="方正仿宋_GBK" w:cs="方正仿宋_GBK"/>
          <w:sz w:val="32"/>
          <w:szCs w:val="32"/>
        </w:rPr>
      </w:pPr>
    </w:p>
    <w:p w14:paraId="4CBA4355">
      <w:pPr>
        <w:keepNext w:val="0"/>
        <w:keepLines w:val="0"/>
        <w:pageBreakBefore w:val="0"/>
        <w:widowControl w:val="0"/>
        <w:kinsoku/>
        <w:wordWrap/>
        <w:overflowPunct/>
        <w:topLinePunct w:val="0"/>
        <w:autoSpaceDE/>
        <w:autoSpaceDN/>
        <w:bidi w:val="0"/>
        <w:adjustRightInd/>
        <w:spacing w:line="560" w:lineRule="exact"/>
        <w:ind w:firstLine="644" w:firstLineChars="200"/>
        <w:textAlignment w:val="auto"/>
        <w:rPr>
          <w:rFonts w:ascii="黑体" w:eastAsia="黑体" w:cs="黑体"/>
          <w:color w:val="000000" w:themeColor="text1"/>
          <w:sz w:val="32"/>
          <w:szCs w:val="32"/>
          <w14:textFill>
            <w14:solidFill>
              <w14:schemeClr w14:val="tx1"/>
            </w14:solidFill>
          </w14:textFill>
        </w:rPr>
      </w:pPr>
      <w:r>
        <w:rPr>
          <w:rFonts w:hint="eastAsia" w:ascii="黑体" w:eastAsia="黑体" w:cs="黑体"/>
          <w:color w:val="000000" w:themeColor="text1"/>
          <w:sz w:val="32"/>
          <w:szCs w:val="32"/>
          <w14:textFill>
            <w14:solidFill>
              <w14:schemeClr w14:val="tx1"/>
            </w14:solidFill>
          </w14:textFill>
        </w:rPr>
        <w:t>一、项目概述</w:t>
      </w:r>
    </w:p>
    <w:p w14:paraId="1A85F340">
      <w:pPr>
        <w:pStyle w:val="8"/>
        <w:keepNext w:val="0"/>
        <w:keepLines w:val="0"/>
        <w:pageBreakBefore w:val="0"/>
        <w:widowControl w:val="0"/>
        <w:kinsoku/>
        <w:wordWrap/>
        <w:overflowPunct/>
        <w:topLinePunct w:val="0"/>
        <w:autoSpaceDE/>
        <w:autoSpaceDN/>
        <w:bidi w:val="0"/>
        <w:adjustRightInd/>
        <w:spacing w:line="560" w:lineRule="exact"/>
        <w:ind w:firstLine="644"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为认真贯彻落实“强省会”五年行动及贵安新区高质量发展会议精神，根据《贵安新区高质量发展三年攻坚实施方案（2023—2025年）》（筑府发〔2023〕13号）和《贵安新区直管区“一圈两场三改”工作方案》工作部署，贵安新区社会事业管理局立足实际、强化统筹、深入研究，全面启动综合体三社区卫生服务站和马场镇、党武街道、高峰镇村卫生室改造建设项目。该项目总预算资金145万元纳入2025新区财政预算安排。</w:t>
      </w:r>
    </w:p>
    <w:p w14:paraId="6DAC5E3B">
      <w:pPr>
        <w:keepNext w:val="0"/>
        <w:keepLines w:val="0"/>
        <w:pageBreakBefore w:val="0"/>
        <w:widowControl w:val="0"/>
        <w:kinsoku/>
        <w:wordWrap/>
        <w:overflowPunct/>
        <w:topLinePunct w:val="0"/>
        <w:autoSpaceDE/>
        <w:autoSpaceDN/>
        <w:bidi w:val="0"/>
        <w:adjustRightInd/>
        <w:spacing w:line="560" w:lineRule="exact"/>
        <w:ind w:firstLine="644" w:firstLineChars="200"/>
        <w:textAlignment w:val="auto"/>
        <w:rPr>
          <w:rFonts w:ascii="黑体" w:eastAsia="黑体" w:cs="黑体"/>
          <w:color w:val="000000" w:themeColor="text1"/>
          <w:sz w:val="32"/>
          <w:szCs w:val="32"/>
          <w14:textFill>
            <w14:solidFill>
              <w14:schemeClr w14:val="tx1"/>
            </w14:solidFill>
          </w14:textFill>
        </w:rPr>
      </w:pPr>
      <w:r>
        <w:rPr>
          <w:rFonts w:hint="eastAsia" w:ascii="黑体" w:eastAsia="黑体" w:cs="黑体"/>
          <w:color w:val="000000" w:themeColor="text1"/>
          <w:sz w:val="32"/>
          <w:szCs w:val="32"/>
          <w14:textFill>
            <w14:solidFill>
              <w14:schemeClr w14:val="tx1"/>
            </w14:solidFill>
          </w14:textFill>
        </w:rPr>
        <w:t>二、立项依据</w:t>
      </w:r>
    </w:p>
    <w:p w14:paraId="140ACB46">
      <w:pPr>
        <w:pStyle w:val="8"/>
        <w:keepNext w:val="0"/>
        <w:keepLines w:val="0"/>
        <w:pageBreakBefore w:val="0"/>
        <w:widowControl w:val="0"/>
        <w:kinsoku/>
        <w:wordWrap/>
        <w:overflowPunct/>
        <w:topLinePunct w:val="0"/>
        <w:autoSpaceDE/>
        <w:autoSpaceDN/>
        <w:bidi w:val="0"/>
        <w:adjustRightInd/>
        <w:spacing w:line="560" w:lineRule="exact"/>
        <w:ind w:firstLine="644"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依据《贵安新区高质量发展三年攻坚实施方案（2023—2025年）》（筑府发〔2023〕13号）要求，逐步建立以“大学城医院（二级医疗机构）、乡镇卫生院（社区卫生服务中心）、村卫生室（卫生服务站）”为基础的三级诊疗卫生健康服务体系，推动村卫生室、社区卫生服务站提档升级。</w:t>
      </w:r>
    </w:p>
    <w:p w14:paraId="7CA911C7">
      <w:pPr>
        <w:keepNext w:val="0"/>
        <w:keepLines w:val="0"/>
        <w:pageBreakBefore w:val="0"/>
        <w:widowControl w:val="0"/>
        <w:kinsoku/>
        <w:wordWrap/>
        <w:overflowPunct/>
        <w:topLinePunct w:val="0"/>
        <w:autoSpaceDE/>
        <w:autoSpaceDN/>
        <w:bidi w:val="0"/>
        <w:adjustRightInd/>
        <w:spacing w:line="560" w:lineRule="exact"/>
        <w:ind w:firstLine="644" w:firstLineChars="200"/>
        <w:textAlignment w:val="auto"/>
        <w:rPr>
          <w:rFonts w:ascii="黑体" w:eastAsia="黑体" w:cs="黑体"/>
          <w:color w:val="000000" w:themeColor="text1"/>
          <w:sz w:val="32"/>
          <w:szCs w:val="32"/>
          <w14:textFill>
            <w14:solidFill>
              <w14:schemeClr w14:val="tx1"/>
            </w14:solidFill>
          </w14:textFill>
        </w:rPr>
      </w:pPr>
      <w:r>
        <w:rPr>
          <w:rFonts w:hint="eastAsia" w:ascii="黑体" w:eastAsia="黑体" w:cs="黑体"/>
          <w:color w:val="000000" w:themeColor="text1"/>
          <w:sz w:val="32"/>
          <w:szCs w:val="32"/>
          <w14:textFill>
            <w14:solidFill>
              <w14:schemeClr w14:val="tx1"/>
            </w14:solidFill>
          </w14:textFill>
        </w:rPr>
        <w:t>三、实施主体</w:t>
      </w:r>
    </w:p>
    <w:p w14:paraId="6CA1940D">
      <w:pPr>
        <w:pStyle w:val="8"/>
        <w:keepNext w:val="0"/>
        <w:keepLines w:val="0"/>
        <w:pageBreakBefore w:val="0"/>
        <w:widowControl w:val="0"/>
        <w:kinsoku/>
        <w:wordWrap/>
        <w:overflowPunct/>
        <w:topLinePunct w:val="0"/>
        <w:autoSpaceDE/>
        <w:autoSpaceDN/>
        <w:bidi w:val="0"/>
        <w:adjustRightInd/>
        <w:spacing w:line="560" w:lineRule="exact"/>
        <w:ind w:firstLine="644"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贵州贵安新区管理委员会社会事业管理局。</w:t>
      </w:r>
    </w:p>
    <w:p w14:paraId="3AC75B82">
      <w:pPr>
        <w:keepNext w:val="0"/>
        <w:keepLines w:val="0"/>
        <w:pageBreakBefore w:val="0"/>
        <w:widowControl w:val="0"/>
        <w:kinsoku/>
        <w:wordWrap/>
        <w:overflowPunct/>
        <w:topLinePunct w:val="0"/>
        <w:autoSpaceDE/>
        <w:autoSpaceDN/>
        <w:bidi w:val="0"/>
        <w:adjustRightInd/>
        <w:spacing w:line="560" w:lineRule="exact"/>
        <w:ind w:firstLine="644" w:firstLineChars="200"/>
        <w:textAlignment w:val="auto"/>
        <w:rPr>
          <w:rFonts w:ascii="黑体" w:eastAsia="黑体" w:cs="黑体"/>
          <w:color w:val="000000" w:themeColor="text1"/>
          <w:sz w:val="32"/>
          <w:szCs w:val="32"/>
          <w14:textFill>
            <w14:solidFill>
              <w14:schemeClr w14:val="tx1"/>
            </w14:solidFill>
          </w14:textFill>
        </w:rPr>
      </w:pPr>
      <w:r>
        <w:rPr>
          <w:rFonts w:hint="eastAsia" w:ascii="黑体" w:eastAsia="黑体" w:cs="黑体"/>
          <w:color w:val="000000" w:themeColor="text1"/>
          <w:sz w:val="32"/>
          <w:szCs w:val="32"/>
          <w14:textFill>
            <w14:solidFill>
              <w14:schemeClr w14:val="tx1"/>
            </w14:solidFill>
          </w14:textFill>
        </w:rPr>
        <w:t>四、实施方案</w:t>
      </w:r>
    </w:p>
    <w:p w14:paraId="5E28B4C9">
      <w:pPr>
        <w:keepNext w:val="0"/>
        <w:keepLines w:val="0"/>
        <w:pageBreakBefore w:val="0"/>
        <w:widowControl w:val="0"/>
        <w:kinsoku/>
        <w:wordWrap/>
        <w:overflowPunct/>
        <w:topLinePunct w:val="0"/>
        <w:autoSpaceDE/>
        <w:autoSpaceDN/>
        <w:bidi w:val="0"/>
        <w:adjustRightInd/>
        <w:spacing w:line="560" w:lineRule="exact"/>
        <w:ind w:firstLine="644" w:firstLineChars="200"/>
        <w:textAlignment w:val="auto"/>
        <w:rPr>
          <w:rFonts w:ascii="楷体_GB2312" w:eastAsia="楷体_GB2312" w:cs="楷体_GB2312"/>
          <w:color w:val="000000" w:themeColor="text1"/>
          <w:sz w:val="32"/>
          <w:szCs w:val="32"/>
          <w14:textFill>
            <w14:solidFill>
              <w14:schemeClr w14:val="tx1"/>
            </w14:solidFill>
          </w14:textFill>
        </w:rPr>
      </w:pPr>
      <w:r>
        <w:rPr>
          <w:rFonts w:hint="eastAsia" w:ascii="楷体_GB2312" w:eastAsia="楷体_GB2312" w:cs="楷体_GB2312"/>
          <w:color w:val="000000" w:themeColor="text1"/>
          <w:sz w:val="32"/>
          <w:szCs w:val="32"/>
          <w14:textFill>
            <w14:solidFill>
              <w14:schemeClr w14:val="tx1"/>
            </w14:solidFill>
          </w14:textFill>
        </w:rPr>
        <w:t>（一）项目可行性</w:t>
      </w:r>
    </w:p>
    <w:p w14:paraId="081BAF59">
      <w:pPr>
        <w:pStyle w:val="8"/>
        <w:keepNext w:val="0"/>
        <w:keepLines w:val="0"/>
        <w:pageBreakBefore w:val="0"/>
        <w:widowControl w:val="0"/>
        <w:kinsoku/>
        <w:wordWrap/>
        <w:overflowPunct/>
        <w:topLinePunct w:val="0"/>
        <w:autoSpaceDE/>
        <w:autoSpaceDN/>
        <w:bidi w:val="0"/>
        <w:adjustRightInd/>
        <w:spacing w:line="560" w:lineRule="exact"/>
        <w:ind w:firstLine="644"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紧紧围绕“一圈两场三改”中医疗服务重点建设任务及《贵安新区高质量发展三年攻坚实施方案（2023—2025年）》要求，以规划目标为导向，梳理清楚贵安新区卫生服务实际情况，制定目标任务，切实解决民生问题。统筹整体与局部、近期与远期、地上与地下，按轻重缓急，分步实施，整体推进卫生服务建设项目。</w:t>
      </w:r>
    </w:p>
    <w:p w14:paraId="7E0689C9">
      <w:pPr>
        <w:pStyle w:val="8"/>
        <w:keepNext w:val="0"/>
        <w:keepLines w:val="0"/>
        <w:pageBreakBefore w:val="0"/>
        <w:widowControl w:val="0"/>
        <w:kinsoku/>
        <w:wordWrap/>
        <w:overflowPunct/>
        <w:topLinePunct w:val="0"/>
        <w:autoSpaceDE/>
        <w:autoSpaceDN/>
        <w:bidi w:val="0"/>
        <w:adjustRightInd/>
        <w:spacing w:line="560" w:lineRule="exact"/>
        <w:ind w:firstLine="644" w:firstLineChars="200"/>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（二）总体思路</w:t>
      </w:r>
    </w:p>
    <w:p w14:paraId="50957E1D">
      <w:pPr>
        <w:pStyle w:val="8"/>
        <w:keepNext w:val="0"/>
        <w:keepLines w:val="0"/>
        <w:pageBreakBefore w:val="0"/>
        <w:widowControl w:val="0"/>
        <w:kinsoku/>
        <w:wordWrap/>
        <w:overflowPunct/>
        <w:topLinePunct w:val="0"/>
        <w:autoSpaceDE/>
        <w:autoSpaceDN/>
        <w:bidi w:val="0"/>
        <w:adjustRightInd/>
        <w:spacing w:line="560" w:lineRule="exact"/>
        <w:ind w:firstLine="644"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以习近平新时代中国特色社会主义思想为指引，全面贯彻党的二十大精神，牢固树立以人民为中心的发展思想，坚持在发展中保障和改善民生，全面夯实基层卫生健康服务体系建设，切实改善人民群众看病就医感受，不断增强群众获得感、幸福感、安全感。</w:t>
      </w:r>
    </w:p>
    <w:p w14:paraId="2DB46E8E">
      <w:pPr>
        <w:keepNext w:val="0"/>
        <w:keepLines w:val="0"/>
        <w:pageBreakBefore w:val="0"/>
        <w:widowControl w:val="0"/>
        <w:kinsoku/>
        <w:wordWrap/>
        <w:overflowPunct/>
        <w:topLinePunct w:val="0"/>
        <w:autoSpaceDE/>
        <w:autoSpaceDN/>
        <w:bidi w:val="0"/>
        <w:adjustRightInd/>
        <w:spacing w:line="560" w:lineRule="exact"/>
        <w:ind w:firstLine="644" w:firstLineChars="200"/>
        <w:textAlignment w:val="auto"/>
        <w:rPr>
          <w:rFonts w:ascii="楷体_GB2312" w:eastAsia="楷体_GB2312" w:cs="楷体_GB2312"/>
          <w:color w:val="000000" w:themeColor="text1"/>
          <w:sz w:val="32"/>
          <w:szCs w:val="32"/>
          <w14:textFill>
            <w14:solidFill>
              <w14:schemeClr w14:val="tx1"/>
            </w14:solidFill>
          </w14:textFill>
        </w:rPr>
      </w:pPr>
      <w:r>
        <w:rPr>
          <w:rFonts w:hint="eastAsia" w:ascii="楷体_GB2312" w:eastAsia="楷体_GB2312" w:cs="楷体_GB2312"/>
          <w:color w:val="000000" w:themeColor="text1"/>
          <w:sz w:val="32"/>
          <w:szCs w:val="32"/>
          <w14:textFill>
            <w14:solidFill>
              <w14:schemeClr w14:val="tx1"/>
            </w14:solidFill>
          </w14:textFill>
        </w:rPr>
        <w:t>（三）实施方式</w:t>
      </w:r>
    </w:p>
    <w:p w14:paraId="1D39239C">
      <w:pPr>
        <w:pStyle w:val="8"/>
        <w:keepNext w:val="0"/>
        <w:keepLines w:val="0"/>
        <w:pageBreakBefore w:val="0"/>
        <w:widowControl w:val="0"/>
        <w:kinsoku/>
        <w:wordWrap/>
        <w:overflowPunct/>
        <w:topLinePunct w:val="0"/>
        <w:autoSpaceDE/>
        <w:autoSpaceDN/>
        <w:bidi w:val="0"/>
        <w:adjustRightInd/>
        <w:spacing w:line="560" w:lineRule="exact"/>
        <w:ind w:firstLine="644"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根据有关要求，通过公开采购组织第三方机构实施。2025年度贵安新区范围内完成1个社区卫生服务站建设，完成9个卫生室改造。</w:t>
      </w:r>
    </w:p>
    <w:p w14:paraId="74430458">
      <w:pPr>
        <w:keepNext w:val="0"/>
        <w:keepLines w:val="0"/>
        <w:pageBreakBefore w:val="0"/>
        <w:widowControl w:val="0"/>
        <w:kinsoku/>
        <w:wordWrap/>
        <w:overflowPunct/>
        <w:topLinePunct w:val="0"/>
        <w:autoSpaceDE/>
        <w:autoSpaceDN/>
        <w:bidi w:val="0"/>
        <w:adjustRightInd/>
        <w:spacing w:line="560" w:lineRule="exact"/>
        <w:ind w:firstLine="644" w:firstLineChars="200"/>
        <w:textAlignment w:val="auto"/>
        <w:rPr>
          <w:rFonts w:ascii="楷体_GB2312" w:eastAsia="楷体_GB2312" w:cs="楷体_GB2312"/>
          <w:color w:val="000000" w:themeColor="text1"/>
          <w:sz w:val="32"/>
          <w:szCs w:val="32"/>
          <w14:textFill>
            <w14:solidFill>
              <w14:schemeClr w14:val="tx1"/>
            </w14:solidFill>
          </w14:textFill>
        </w:rPr>
      </w:pPr>
      <w:r>
        <w:rPr>
          <w:rFonts w:hint="eastAsia" w:ascii="楷体_GB2312" w:eastAsia="楷体_GB2312" w:cs="楷体_GB2312"/>
          <w:color w:val="000000" w:themeColor="text1"/>
          <w:sz w:val="32"/>
          <w:szCs w:val="32"/>
          <w14:textFill>
            <w14:solidFill>
              <w14:schemeClr w14:val="tx1"/>
            </w14:solidFill>
          </w14:textFill>
        </w:rPr>
        <w:t>（四）进度安排及阶段目标</w:t>
      </w:r>
    </w:p>
    <w:p w14:paraId="65B62EA4">
      <w:pPr>
        <w:pStyle w:val="8"/>
        <w:keepNext w:val="0"/>
        <w:keepLines w:val="0"/>
        <w:pageBreakBefore w:val="0"/>
        <w:widowControl w:val="0"/>
        <w:kinsoku/>
        <w:wordWrap/>
        <w:overflowPunct/>
        <w:topLinePunct w:val="0"/>
        <w:autoSpaceDE/>
        <w:autoSpaceDN/>
        <w:bidi w:val="0"/>
        <w:adjustRightInd/>
        <w:spacing w:line="560" w:lineRule="exact"/>
        <w:ind w:firstLine="644"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1.方案制定阶段（2025年2月—2025年4月）：完成项目建设方案的制定。</w:t>
      </w:r>
    </w:p>
    <w:p w14:paraId="3F6D8FFD">
      <w:pPr>
        <w:pStyle w:val="8"/>
        <w:keepNext w:val="0"/>
        <w:keepLines w:val="0"/>
        <w:pageBreakBefore w:val="0"/>
        <w:widowControl w:val="0"/>
        <w:kinsoku/>
        <w:wordWrap/>
        <w:overflowPunct/>
        <w:topLinePunct w:val="0"/>
        <w:autoSpaceDE/>
        <w:autoSpaceDN/>
        <w:bidi w:val="0"/>
        <w:adjustRightInd/>
        <w:spacing w:line="560" w:lineRule="exact"/>
        <w:ind w:firstLine="644"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推进实施阶段（2025年5月—2025年9月）：完成基层卫生机构能力提升招投标、组织施工等工作。主要包括党武街道5个，高峰镇3个，马场镇1个改造建设；综合体三社区卫生服务站建设；完成设备采购、验收和配备工作。</w:t>
      </w:r>
    </w:p>
    <w:p w14:paraId="618DFE3D">
      <w:pPr>
        <w:pStyle w:val="8"/>
        <w:keepNext w:val="0"/>
        <w:keepLines w:val="0"/>
        <w:pageBreakBefore w:val="0"/>
        <w:widowControl w:val="0"/>
        <w:kinsoku/>
        <w:wordWrap/>
        <w:overflowPunct/>
        <w:topLinePunct w:val="0"/>
        <w:autoSpaceDE/>
        <w:autoSpaceDN/>
        <w:bidi w:val="0"/>
        <w:adjustRightInd/>
        <w:spacing w:line="560" w:lineRule="exact"/>
        <w:ind w:firstLine="644"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3.巩固提升阶段（2025年10月—2025年11月）：报请基层卫生机构能力提升建设项目进行整体验收。</w:t>
      </w:r>
    </w:p>
    <w:p w14:paraId="3AAF66D5">
      <w:pPr>
        <w:keepNext w:val="0"/>
        <w:keepLines w:val="0"/>
        <w:pageBreakBefore w:val="0"/>
        <w:widowControl w:val="0"/>
        <w:kinsoku/>
        <w:wordWrap/>
        <w:overflowPunct/>
        <w:topLinePunct w:val="0"/>
        <w:autoSpaceDE/>
        <w:autoSpaceDN/>
        <w:bidi w:val="0"/>
        <w:adjustRightInd/>
        <w:spacing w:line="560" w:lineRule="exact"/>
        <w:ind w:firstLine="644" w:firstLineChars="200"/>
        <w:textAlignment w:val="auto"/>
        <w:rPr>
          <w:rFonts w:ascii="楷体_GB2312" w:eastAsia="楷体_GB2312" w:cs="楷体_GB2312"/>
          <w:color w:val="000000" w:themeColor="text1"/>
          <w:sz w:val="32"/>
          <w:szCs w:val="32"/>
          <w14:textFill>
            <w14:solidFill>
              <w14:schemeClr w14:val="tx1"/>
            </w14:solidFill>
          </w14:textFill>
        </w:rPr>
      </w:pPr>
      <w:r>
        <w:rPr>
          <w:rFonts w:hint="eastAsia" w:ascii="楷体_GB2312" w:eastAsia="楷体_GB2312" w:cs="楷体_GB2312"/>
          <w:color w:val="000000" w:themeColor="text1"/>
          <w:sz w:val="32"/>
          <w:szCs w:val="32"/>
          <w14:textFill>
            <w14:solidFill>
              <w14:schemeClr w14:val="tx1"/>
            </w14:solidFill>
          </w14:textFill>
        </w:rPr>
        <w:t>（五）预期成果</w:t>
      </w:r>
    </w:p>
    <w:p w14:paraId="726EAC1C">
      <w:pPr>
        <w:pStyle w:val="8"/>
        <w:keepNext w:val="0"/>
        <w:keepLines w:val="0"/>
        <w:pageBreakBefore w:val="0"/>
        <w:widowControl w:val="0"/>
        <w:kinsoku/>
        <w:wordWrap/>
        <w:overflowPunct/>
        <w:topLinePunct w:val="0"/>
        <w:autoSpaceDE/>
        <w:autoSpaceDN/>
        <w:bidi w:val="0"/>
        <w:adjustRightInd/>
        <w:spacing w:line="560" w:lineRule="exact"/>
        <w:ind w:firstLine="644"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通过综合体三社区卫生服务站建设，解决周边5000余人就医问题；通过完成党武街道5个、高峰镇3个、马场镇1个村卫生室提升改造，为群众提供更为全面、便捷、优质的医疗服务。</w:t>
      </w:r>
    </w:p>
    <w:p w14:paraId="63B6C1AC">
      <w:pPr>
        <w:keepNext w:val="0"/>
        <w:keepLines w:val="0"/>
        <w:pageBreakBefore w:val="0"/>
        <w:widowControl w:val="0"/>
        <w:kinsoku/>
        <w:wordWrap/>
        <w:overflowPunct/>
        <w:topLinePunct w:val="0"/>
        <w:autoSpaceDE/>
        <w:autoSpaceDN/>
        <w:bidi w:val="0"/>
        <w:adjustRightInd/>
        <w:spacing w:line="560" w:lineRule="exact"/>
        <w:ind w:firstLine="644" w:firstLineChars="200"/>
        <w:textAlignment w:val="auto"/>
        <w:rPr>
          <w:rFonts w:ascii="黑体" w:eastAsia="黑体" w:cs="黑体"/>
          <w:color w:val="000000" w:themeColor="text1"/>
          <w:sz w:val="32"/>
          <w:szCs w:val="32"/>
          <w14:textFill>
            <w14:solidFill>
              <w14:schemeClr w14:val="tx1"/>
            </w14:solidFill>
          </w14:textFill>
        </w:rPr>
      </w:pPr>
      <w:r>
        <w:rPr>
          <w:rFonts w:hint="eastAsia" w:ascii="黑体" w:eastAsia="黑体" w:cs="黑体"/>
          <w:color w:val="000000" w:themeColor="text1"/>
          <w:sz w:val="32"/>
          <w:szCs w:val="32"/>
          <w14:textFill>
            <w14:solidFill>
              <w14:schemeClr w14:val="tx1"/>
            </w14:solidFill>
          </w14:textFill>
        </w:rPr>
        <w:t>五、实施周期</w:t>
      </w:r>
    </w:p>
    <w:p w14:paraId="07797018">
      <w:pPr>
        <w:pStyle w:val="8"/>
        <w:keepNext w:val="0"/>
        <w:keepLines w:val="0"/>
        <w:pageBreakBefore w:val="0"/>
        <w:widowControl w:val="0"/>
        <w:kinsoku/>
        <w:wordWrap/>
        <w:overflowPunct/>
        <w:topLinePunct w:val="0"/>
        <w:autoSpaceDE/>
        <w:autoSpaceDN/>
        <w:bidi w:val="0"/>
        <w:adjustRightInd/>
        <w:spacing w:line="560" w:lineRule="exact"/>
        <w:ind w:firstLine="644"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2025年2月至2025年11月。</w:t>
      </w:r>
    </w:p>
    <w:p w14:paraId="3496963B">
      <w:pPr>
        <w:keepNext w:val="0"/>
        <w:keepLines w:val="0"/>
        <w:pageBreakBefore w:val="0"/>
        <w:widowControl w:val="0"/>
        <w:kinsoku/>
        <w:wordWrap/>
        <w:overflowPunct/>
        <w:topLinePunct w:val="0"/>
        <w:autoSpaceDE/>
        <w:autoSpaceDN/>
        <w:bidi w:val="0"/>
        <w:adjustRightInd/>
        <w:spacing w:line="560" w:lineRule="exact"/>
        <w:ind w:firstLine="644" w:firstLineChars="200"/>
        <w:textAlignment w:val="auto"/>
        <w:rPr>
          <w:rFonts w:ascii="黑体" w:eastAsia="黑体" w:cs="黑体"/>
          <w:color w:val="000000" w:themeColor="text1"/>
          <w:sz w:val="32"/>
          <w:szCs w:val="32"/>
          <w14:textFill>
            <w14:solidFill>
              <w14:schemeClr w14:val="tx1"/>
            </w14:solidFill>
          </w14:textFill>
        </w:rPr>
      </w:pPr>
      <w:r>
        <w:rPr>
          <w:rFonts w:hint="eastAsia" w:ascii="黑体" w:eastAsia="黑体" w:cs="黑体"/>
          <w:color w:val="000000" w:themeColor="text1"/>
          <w:sz w:val="32"/>
          <w:szCs w:val="32"/>
          <w14:textFill>
            <w14:solidFill>
              <w14:schemeClr w14:val="tx1"/>
            </w14:solidFill>
          </w14:textFill>
        </w:rPr>
        <w:t>六、年度预算计划</w:t>
      </w:r>
    </w:p>
    <w:p w14:paraId="78EB8F1D">
      <w:pPr>
        <w:pStyle w:val="8"/>
        <w:keepNext w:val="0"/>
        <w:keepLines w:val="0"/>
        <w:pageBreakBefore w:val="0"/>
        <w:widowControl w:val="0"/>
        <w:kinsoku/>
        <w:wordWrap/>
        <w:overflowPunct/>
        <w:topLinePunct w:val="0"/>
        <w:autoSpaceDE/>
        <w:autoSpaceDN/>
        <w:bidi w:val="0"/>
        <w:adjustRightInd/>
        <w:spacing w:line="560" w:lineRule="exact"/>
        <w:ind w:firstLine="644" w:firstLineChars="200"/>
        <w:jc w:val="both"/>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2025年预算：一般公共预算145万元，其中：综合体三社区卫生服务站预算100万元，9个村卫生室提升改造45万元。</w:t>
      </w:r>
    </w:p>
    <w:p w14:paraId="4FCDC267">
      <w:pPr>
        <w:keepNext w:val="0"/>
        <w:keepLines w:val="0"/>
        <w:pageBreakBefore w:val="0"/>
        <w:widowControl w:val="0"/>
        <w:kinsoku/>
        <w:wordWrap/>
        <w:overflowPunct/>
        <w:topLinePunct w:val="0"/>
        <w:autoSpaceDE/>
        <w:autoSpaceDN/>
        <w:bidi w:val="0"/>
        <w:adjustRightInd/>
        <w:spacing w:line="560" w:lineRule="exact"/>
        <w:ind w:firstLine="644" w:firstLineChars="200"/>
        <w:textAlignment w:val="auto"/>
        <w:rPr>
          <w:rFonts w:ascii="黑体" w:eastAsia="黑体" w:cs="黑体"/>
          <w:color w:val="000000" w:themeColor="text1"/>
          <w:sz w:val="32"/>
          <w:szCs w:val="32"/>
          <w14:textFill>
            <w14:solidFill>
              <w14:schemeClr w14:val="tx1"/>
            </w14:solidFill>
          </w14:textFill>
        </w:rPr>
      </w:pPr>
      <w:r>
        <w:rPr>
          <w:rFonts w:hint="eastAsia" w:ascii="黑体" w:eastAsia="黑体" w:cs="黑体"/>
          <w:color w:val="000000" w:themeColor="text1"/>
          <w:sz w:val="32"/>
          <w:szCs w:val="32"/>
          <w14:textFill>
            <w14:solidFill>
              <w14:schemeClr w14:val="tx1"/>
            </w14:solidFill>
          </w14:textFill>
        </w:rPr>
        <w:t>七、绩效目标和指标</w:t>
      </w:r>
    </w:p>
    <w:p w14:paraId="5EB81626">
      <w:pPr>
        <w:pStyle w:val="8"/>
        <w:keepNext w:val="0"/>
        <w:keepLines w:val="0"/>
        <w:pageBreakBefore w:val="0"/>
        <w:widowControl w:val="0"/>
        <w:kinsoku/>
        <w:wordWrap/>
        <w:overflowPunct/>
        <w:topLinePunct w:val="0"/>
        <w:autoSpaceDE/>
        <w:autoSpaceDN/>
        <w:bidi w:val="0"/>
        <w:adjustRightInd/>
        <w:spacing w:line="560" w:lineRule="exact"/>
        <w:ind w:firstLine="644"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详见下表。</w:t>
      </w:r>
    </w:p>
    <w:p w14:paraId="763B69D0">
      <w:pPr>
        <w:keepNext w:val="0"/>
        <w:keepLines w:val="0"/>
        <w:pageBreakBefore w:val="0"/>
        <w:widowControl w:val="0"/>
        <w:kinsoku/>
        <w:wordWrap/>
        <w:overflowPunct/>
        <w:topLinePunct w:val="0"/>
        <w:autoSpaceDE/>
        <w:autoSpaceDN/>
        <w:bidi w:val="0"/>
        <w:adjustRightInd/>
        <w:spacing w:line="550" w:lineRule="exac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br w:type="page"/>
      </w:r>
    </w:p>
    <w:tbl>
      <w:tblPr>
        <w:tblStyle w:val="10"/>
        <w:tblW w:w="1501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26"/>
        <w:gridCol w:w="1795"/>
        <w:gridCol w:w="1731"/>
        <w:gridCol w:w="1360"/>
        <w:gridCol w:w="1681"/>
        <w:gridCol w:w="1"/>
        <w:gridCol w:w="1275"/>
        <w:gridCol w:w="2362"/>
        <w:gridCol w:w="3383"/>
      </w:tblGrid>
      <w:tr w14:paraId="5DFB1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blHeader/>
          <w:jc w:val="center"/>
        </w:trPr>
        <w:tc>
          <w:tcPr>
            <w:tcW w:w="15014" w:type="dxa"/>
            <w:gridSpan w:val="9"/>
            <w:tcBorders>
              <w:top w:val="nil"/>
              <w:left w:val="nil"/>
              <w:bottom w:val="nil"/>
              <w:right w:val="nil"/>
            </w:tcBorders>
            <w:shd w:val="clear" w:color="auto" w:fill="auto"/>
            <w:vAlign w:val="center"/>
          </w:tcPr>
          <w:p w14:paraId="6D4E8FFF">
            <w:pPr>
              <w:keepNext w:val="0"/>
              <w:keepLines w:val="0"/>
              <w:widowControl/>
              <w:suppressLineNumbers w:val="0"/>
              <w:jc w:val="center"/>
              <w:textAlignment w:val="center"/>
              <w:rPr>
                <w:rFonts w:hint="eastAsia" w:ascii="宋体" w:hAnsi="宋体" w:eastAsia="宋体" w:cs="宋体"/>
                <w:b/>
                <w:bCs/>
                <w:i w:val="0"/>
                <w:iCs w:val="0"/>
                <w:color w:val="000000"/>
                <w:sz w:val="43"/>
                <w:szCs w:val="43"/>
                <w:u w:val="none"/>
              </w:rPr>
            </w:pPr>
            <w:r>
              <w:rPr>
                <w:rFonts w:hint="eastAsia" w:ascii="宋体" w:hAnsi="宋体" w:eastAsia="宋体" w:cs="宋体"/>
                <w:b/>
                <w:bCs/>
                <w:i w:val="0"/>
                <w:iCs w:val="0"/>
                <w:color w:val="000000"/>
                <w:kern w:val="0"/>
                <w:sz w:val="43"/>
                <w:szCs w:val="43"/>
                <w:u w:val="none"/>
                <w:lang w:val="en-US" w:eastAsia="zh-CN" w:bidi="ar"/>
              </w:rPr>
              <w:t>项目支出绩效目标申报表</w:t>
            </w:r>
          </w:p>
        </w:tc>
      </w:tr>
      <w:tr w14:paraId="0C707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blHeader/>
          <w:jc w:val="center"/>
        </w:trPr>
        <w:tc>
          <w:tcPr>
            <w:tcW w:w="15014" w:type="dxa"/>
            <w:gridSpan w:val="9"/>
            <w:tcBorders>
              <w:top w:val="nil"/>
              <w:left w:val="nil"/>
              <w:bottom w:val="single" w:color="auto" w:sz="4" w:space="0"/>
              <w:right w:val="nil"/>
            </w:tcBorders>
            <w:shd w:val="clear" w:color="auto" w:fill="auto"/>
            <w:vAlign w:val="center"/>
          </w:tcPr>
          <w:p w14:paraId="442E70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（2025年度）</w:t>
            </w:r>
          </w:p>
        </w:tc>
      </w:tr>
      <w:tr w14:paraId="56432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blHeader/>
          <w:jc w:val="center"/>
        </w:trPr>
        <w:tc>
          <w:tcPr>
            <w:tcW w:w="322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3F4DA64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项目名称</w:t>
            </w:r>
          </w:p>
        </w:tc>
        <w:tc>
          <w:tcPr>
            <w:tcW w:w="4772"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536F08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贵安新区</w:t>
            </w:r>
            <w:r>
              <w:rPr>
                <w:rFonts w:hint="eastAsia" w:ascii="宋体" w:hAnsi="宋体" w:eastAsia="宋体" w:cs="宋体"/>
                <w:i w:val="0"/>
                <w:iCs w:val="0"/>
                <w:color w:val="000000"/>
                <w:kern w:val="0"/>
                <w:sz w:val="20"/>
                <w:szCs w:val="20"/>
                <w:u w:val="none"/>
                <w:lang w:val="en-US" w:eastAsia="zh-CN" w:bidi="ar"/>
              </w:rPr>
              <w:t>基层卫生机构能力提升建设项目</w:t>
            </w:r>
          </w:p>
        </w:tc>
        <w:tc>
          <w:tcPr>
            <w:tcW w:w="127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28E561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项目编码</w:t>
            </w:r>
          </w:p>
        </w:tc>
        <w:tc>
          <w:tcPr>
            <w:tcW w:w="5745"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582E607">
            <w:pPr>
              <w:jc w:val="center"/>
              <w:rPr>
                <w:rFonts w:hint="eastAsia" w:ascii="宋体" w:hAnsi="宋体" w:eastAsia="宋体" w:cs="宋体"/>
                <w:i w:val="0"/>
                <w:iCs w:val="0"/>
                <w:color w:val="000000"/>
                <w:sz w:val="20"/>
                <w:szCs w:val="20"/>
                <w:u w:val="none"/>
              </w:rPr>
            </w:pPr>
          </w:p>
        </w:tc>
      </w:tr>
      <w:tr w14:paraId="6346D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blHeader/>
          <w:jc w:val="center"/>
        </w:trPr>
        <w:tc>
          <w:tcPr>
            <w:tcW w:w="322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24286D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主管部门及代码</w:t>
            </w:r>
          </w:p>
        </w:tc>
        <w:tc>
          <w:tcPr>
            <w:tcW w:w="4772"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125A07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864001/贵安新区社会事业管理局</w:t>
            </w:r>
          </w:p>
        </w:tc>
        <w:tc>
          <w:tcPr>
            <w:tcW w:w="1276"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3BA0B2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实施单位</w:t>
            </w:r>
          </w:p>
        </w:tc>
        <w:tc>
          <w:tcPr>
            <w:tcW w:w="5745"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D59CA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贵安新区社会事业管理局</w:t>
            </w:r>
          </w:p>
        </w:tc>
      </w:tr>
      <w:tr w14:paraId="408DA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3221" w:type="dxa"/>
            <w:gridSpan w:val="2"/>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2AF30B3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资金来源</w:t>
            </w:r>
          </w:p>
        </w:tc>
        <w:tc>
          <w:tcPr>
            <w:tcW w:w="11793" w:type="dxa"/>
            <w:gridSpan w:val="7"/>
            <w:tcBorders>
              <w:top w:val="single" w:color="auto" w:sz="4" w:space="0"/>
              <w:left w:val="single" w:color="auto" w:sz="4" w:space="0"/>
              <w:bottom w:val="single" w:color="auto" w:sz="4" w:space="0"/>
              <w:right w:val="single" w:color="auto" w:sz="4" w:space="0"/>
            </w:tcBorders>
            <w:shd w:val="clear" w:color="auto" w:fill="FFFFFF"/>
            <w:vAlign w:val="center"/>
          </w:tcPr>
          <w:p w14:paraId="35908C7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年度资金情况</w:t>
            </w:r>
          </w:p>
        </w:tc>
      </w:tr>
      <w:tr w14:paraId="53DB9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3221" w:type="dxa"/>
            <w:gridSpan w:val="2"/>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0928F82">
            <w:pPr>
              <w:jc w:val="center"/>
              <w:rPr>
                <w:rFonts w:hint="eastAsia" w:ascii="宋体" w:hAnsi="宋体" w:eastAsia="宋体" w:cs="宋体"/>
                <w:b/>
                <w:bCs/>
                <w:i w:val="0"/>
                <w:iCs w:val="0"/>
                <w:color w:val="000000"/>
                <w:sz w:val="20"/>
                <w:szCs w:val="20"/>
                <w:u w:val="none"/>
              </w:rPr>
            </w:pPr>
          </w:p>
        </w:tc>
        <w:tc>
          <w:tcPr>
            <w:tcW w:w="30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015F2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资金总额</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元</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w:t>
            </w:r>
          </w:p>
        </w:tc>
        <w:tc>
          <w:tcPr>
            <w:tcW w:w="8702"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7EE5AA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1,450,000.00</w:t>
            </w:r>
          </w:p>
        </w:tc>
      </w:tr>
      <w:tr w14:paraId="7895F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3221" w:type="dxa"/>
            <w:gridSpan w:val="2"/>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0C11F7B4">
            <w:pPr>
              <w:jc w:val="center"/>
              <w:rPr>
                <w:rFonts w:hint="eastAsia" w:ascii="宋体" w:hAnsi="宋体" w:eastAsia="宋体" w:cs="宋体"/>
                <w:b/>
                <w:bCs/>
                <w:i w:val="0"/>
                <w:iCs w:val="0"/>
                <w:color w:val="000000"/>
                <w:sz w:val="20"/>
                <w:szCs w:val="20"/>
                <w:u w:val="none"/>
              </w:rPr>
            </w:pPr>
          </w:p>
        </w:tc>
        <w:tc>
          <w:tcPr>
            <w:tcW w:w="30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E6844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财政拨款</w:t>
            </w:r>
          </w:p>
        </w:tc>
        <w:tc>
          <w:tcPr>
            <w:tcW w:w="8702"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5E586E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1,450,000.00</w:t>
            </w:r>
          </w:p>
        </w:tc>
      </w:tr>
      <w:tr w14:paraId="63128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3221" w:type="dxa"/>
            <w:gridSpan w:val="2"/>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41881482">
            <w:pPr>
              <w:jc w:val="center"/>
              <w:rPr>
                <w:rFonts w:hint="eastAsia" w:ascii="宋体" w:hAnsi="宋体" w:eastAsia="宋体" w:cs="宋体"/>
                <w:b/>
                <w:bCs/>
                <w:i w:val="0"/>
                <w:iCs w:val="0"/>
                <w:color w:val="000000"/>
                <w:sz w:val="20"/>
                <w:szCs w:val="20"/>
                <w:u w:val="none"/>
              </w:rPr>
            </w:pPr>
          </w:p>
        </w:tc>
        <w:tc>
          <w:tcPr>
            <w:tcW w:w="30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55216E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其中：上级补助</w:t>
            </w:r>
          </w:p>
        </w:tc>
        <w:tc>
          <w:tcPr>
            <w:tcW w:w="8702"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344FF608">
            <w:pPr>
              <w:jc w:val="center"/>
              <w:rPr>
                <w:rFonts w:hint="eastAsia" w:ascii="宋体" w:hAnsi="宋体" w:eastAsia="宋体" w:cs="宋体"/>
                <w:i w:val="0"/>
                <w:iCs w:val="0"/>
                <w:color w:val="000000"/>
                <w:sz w:val="20"/>
                <w:szCs w:val="20"/>
                <w:u w:val="none"/>
              </w:rPr>
            </w:pPr>
          </w:p>
        </w:tc>
      </w:tr>
      <w:tr w14:paraId="4336D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3221" w:type="dxa"/>
            <w:gridSpan w:val="2"/>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18F29023">
            <w:pPr>
              <w:jc w:val="center"/>
              <w:rPr>
                <w:rFonts w:hint="eastAsia" w:ascii="宋体" w:hAnsi="宋体" w:eastAsia="宋体" w:cs="宋体"/>
                <w:b/>
                <w:bCs/>
                <w:i w:val="0"/>
                <w:iCs w:val="0"/>
                <w:color w:val="000000"/>
                <w:sz w:val="20"/>
                <w:szCs w:val="20"/>
                <w:u w:val="none"/>
              </w:rPr>
            </w:pPr>
          </w:p>
        </w:tc>
        <w:tc>
          <w:tcPr>
            <w:tcW w:w="30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C8977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本级安排</w:t>
            </w:r>
          </w:p>
        </w:tc>
        <w:tc>
          <w:tcPr>
            <w:tcW w:w="8702"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07288B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1,450,000.00</w:t>
            </w:r>
          </w:p>
        </w:tc>
      </w:tr>
      <w:tr w14:paraId="7BF39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3221" w:type="dxa"/>
            <w:gridSpan w:val="2"/>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E16830B">
            <w:pPr>
              <w:jc w:val="center"/>
              <w:rPr>
                <w:rFonts w:hint="eastAsia" w:ascii="宋体" w:hAnsi="宋体" w:eastAsia="宋体" w:cs="宋体"/>
                <w:b/>
                <w:bCs/>
                <w:i w:val="0"/>
                <w:iCs w:val="0"/>
                <w:color w:val="000000"/>
                <w:sz w:val="20"/>
                <w:szCs w:val="20"/>
                <w:u w:val="none"/>
              </w:rPr>
            </w:pPr>
          </w:p>
        </w:tc>
        <w:tc>
          <w:tcPr>
            <w:tcW w:w="30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01434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其他资金</w:t>
            </w:r>
          </w:p>
        </w:tc>
        <w:tc>
          <w:tcPr>
            <w:tcW w:w="8702"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13A65A9D">
            <w:pPr>
              <w:jc w:val="center"/>
              <w:rPr>
                <w:rFonts w:hint="eastAsia" w:ascii="宋体" w:hAnsi="宋体" w:eastAsia="宋体" w:cs="宋体"/>
                <w:i w:val="0"/>
                <w:iCs w:val="0"/>
                <w:color w:val="000000"/>
                <w:sz w:val="20"/>
                <w:szCs w:val="20"/>
                <w:u w:val="none"/>
              </w:rPr>
            </w:pPr>
          </w:p>
        </w:tc>
      </w:tr>
      <w:tr w14:paraId="2E09D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2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2A9C45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绩效目标</w:t>
            </w:r>
          </w:p>
        </w:tc>
        <w:tc>
          <w:tcPr>
            <w:tcW w:w="13588" w:type="dxa"/>
            <w:gridSpan w:val="8"/>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C9CB2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照“一圈两场三改”及三年攻坚实施方案要求，通过新建综合体三社区卫生服务站，对党武街道5个，高峰镇3个，马场镇1个村卫生室进行提升改造，达到为群众提供更为全面、便捷、优质的医疗服务，提升基层医疗卫生服务能力和水平、群众满意度</w:t>
            </w:r>
          </w:p>
        </w:tc>
      </w:tr>
      <w:tr w14:paraId="3B371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AA8FBC">
            <w:pPr>
              <w:jc w:val="center"/>
              <w:rPr>
                <w:rFonts w:hint="eastAsia" w:ascii="宋体" w:hAnsi="宋体" w:eastAsia="宋体" w:cs="宋体"/>
                <w:b/>
                <w:bCs/>
                <w:i w:val="0"/>
                <w:iCs w:val="0"/>
                <w:color w:val="000000"/>
                <w:sz w:val="20"/>
                <w:szCs w:val="20"/>
                <w:u w:val="none"/>
              </w:rPr>
            </w:pPr>
          </w:p>
        </w:tc>
        <w:tc>
          <w:tcPr>
            <w:tcW w:w="13588" w:type="dxa"/>
            <w:gridSpan w:val="8"/>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DE2E33B">
            <w:pPr>
              <w:jc w:val="center"/>
              <w:rPr>
                <w:rFonts w:hint="eastAsia" w:ascii="宋体" w:hAnsi="宋体" w:eastAsia="宋体" w:cs="宋体"/>
                <w:i w:val="0"/>
                <w:iCs w:val="0"/>
                <w:color w:val="000000"/>
                <w:sz w:val="20"/>
                <w:szCs w:val="20"/>
                <w:u w:val="none"/>
              </w:rPr>
            </w:pPr>
          </w:p>
        </w:tc>
      </w:tr>
      <w:tr w14:paraId="18E4B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142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9CBEFD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一级指标</w:t>
            </w:r>
          </w:p>
        </w:tc>
        <w:tc>
          <w:tcPr>
            <w:tcW w:w="179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0D9693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二级指标</w:t>
            </w:r>
          </w:p>
        </w:tc>
        <w:tc>
          <w:tcPr>
            <w:tcW w:w="17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3A70BF6">
            <w:pPr>
              <w:keepNext w:val="0"/>
              <w:keepLines w:val="0"/>
              <w:widowControl/>
              <w:suppressLineNumbers w:val="0"/>
              <w:jc w:val="center"/>
              <w:textAlignment w:val="center"/>
              <w:rPr>
                <w:rFonts w:hint="eastAsia" w:ascii="宋体" w:hAnsi="宋体" w:eastAsia="宋体" w:cs="宋体"/>
                <w:b/>
                <w:bCs/>
                <w:i w:val="0"/>
                <w:iCs w:val="0"/>
                <w:color w:val="FF0000"/>
                <w:sz w:val="20"/>
                <w:szCs w:val="20"/>
                <w:u w:val="none"/>
              </w:rPr>
            </w:pPr>
            <w:r>
              <w:rPr>
                <w:rStyle w:val="14"/>
                <w:sz w:val="20"/>
                <w:szCs w:val="20"/>
                <w:lang w:val="en-US" w:eastAsia="zh-CN" w:bidi="ar"/>
              </w:rPr>
              <w:t>三级指标</w:t>
            </w:r>
          </w:p>
        </w:tc>
        <w:tc>
          <w:tcPr>
            <w:tcW w:w="431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2B8EA20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指标值</w:t>
            </w:r>
          </w:p>
        </w:tc>
        <w:tc>
          <w:tcPr>
            <w:tcW w:w="23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E45CC8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备注（指标解释等）</w:t>
            </w:r>
          </w:p>
        </w:tc>
        <w:tc>
          <w:tcPr>
            <w:tcW w:w="33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696F6C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指标值说明（评分标准等）</w:t>
            </w:r>
          </w:p>
        </w:tc>
      </w:tr>
      <w:tr w14:paraId="58A80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14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975A077">
            <w:pPr>
              <w:jc w:val="center"/>
              <w:rPr>
                <w:rFonts w:hint="eastAsia" w:ascii="宋体" w:hAnsi="宋体" w:eastAsia="宋体" w:cs="宋体"/>
                <w:b/>
                <w:bCs/>
                <w:i w:val="0"/>
                <w:iCs w:val="0"/>
                <w:color w:val="000000"/>
                <w:sz w:val="20"/>
                <w:szCs w:val="20"/>
                <w:u w:val="none"/>
              </w:rPr>
            </w:pPr>
          </w:p>
        </w:tc>
        <w:tc>
          <w:tcPr>
            <w:tcW w:w="17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5B6D0D4">
            <w:pPr>
              <w:jc w:val="center"/>
              <w:rPr>
                <w:rFonts w:hint="eastAsia" w:ascii="宋体" w:hAnsi="宋体" w:eastAsia="宋体" w:cs="宋体"/>
                <w:b/>
                <w:bCs/>
                <w:i w:val="0"/>
                <w:iCs w:val="0"/>
                <w:color w:val="000000"/>
                <w:sz w:val="20"/>
                <w:szCs w:val="20"/>
                <w:u w:val="none"/>
              </w:rPr>
            </w:pPr>
          </w:p>
        </w:tc>
        <w:tc>
          <w:tcPr>
            <w:tcW w:w="17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A5ED07">
            <w:pPr>
              <w:jc w:val="center"/>
              <w:rPr>
                <w:rFonts w:hint="eastAsia" w:ascii="宋体" w:hAnsi="宋体" w:eastAsia="宋体" w:cs="宋体"/>
                <w:b/>
                <w:bCs/>
                <w:i w:val="0"/>
                <w:iCs w:val="0"/>
                <w:color w:val="FF0000"/>
                <w:sz w:val="20"/>
                <w:szCs w:val="20"/>
                <w:u w:val="none"/>
              </w:rPr>
            </w:pPr>
          </w:p>
        </w:tc>
        <w:tc>
          <w:tcPr>
            <w:tcW w:w="1360" w:type="dxa"/>
            <w:tcBorders>
              <w:top w:val="single" w:color="auto" w:sz="4" w:space="0"/>
              <w:left w:val="single" w:color="auto" w:sz="4" w:space="0"/>
              <w:bottom w:val="single" w:color="auto" w:sz="4" w:space="0"/>
              <w:right w:val="single" w:color="auto" w:sz="4" w:space="0"/>
            </w:tcBorders>
            <w:shd w:val="clear" w:color="auto" w:fill="auto"/>
            <w:vAlign w:val="center"/>
          </w:tcPr>
          <w:p w14:paraId="0081E78E">
            <w:pPr>
              <w:keepNext w:val="0"/>
              <w:keepLines w:val="0"/>
              <w:widowControl/>
              <w:suppressLineNumbers w:val="0"/>
              <w:jc w:val="center"/>
              <w:textAlignment w:val="center"/>
              <w:rPr>
                <w:rFonts w:hint="eastAsia" w:ascii="宋体" w:hAnsi="宋体" w:eastAsia="宋体" w:cs="宋体"/>
                <w:b/>
                <w:bCs/>
                <w:i w:val="0"/>
                <w:iCs w:val="0"/>
                <w:color w:val="FF0000"/>
                <w:sz w:val="20"/>
                <w:szCs w:val="20"/>
                <w:u w:val="none"/>
              </w:rPr>
            </w:pPr>
            <w:r>
              <w:rPr>
                <w:rStyle w:val="14"/>
                <w:sz w:val="20"/>
                <w:szCs w:val="20"/>
                <w:lang w:val="en-US" w:eastAsia="zh-CN" w:bidi="ar"/>
              </w:rPr>
              <w:t>符号</w:t>
            </w:r>
          </w:p>
        </w:tc>
        <w:tc>
          <w:tcPr>
            <w:tcW w:w="16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33A51A4">
            <w:pPr>
              <w:keepNext w:val="0"/>
              <w:keepLines w:val="0"/>
              <w:widowControl/>
              <w:suppressLineNumbers w:val="0"/>
              <w:jc w:val="center"/>
              <w:textAlignment w:val="center"/>
              <w:rPr>
                <w:rFonts w:hint="eastAsia" w:ascii="宋体" w:hAnsi="宋体" w:eastAsia="宋体" w:cs="宋体"/>
                <w:b/>
                <w:bCs/>
                <w:i w:val="0"/>
                <w:iCs w:val="0"/>
                <w:color w:val="FF0000"/>
                <w:sz w:val="20"/>
                <w:szCs w:val="20"/>
                <w:u w:val="none"/>
              </w:rPr>
            </w:pPr>
            <w:r>
              <w:rPr>
                <w:rStyle w:val="14"/>
                <w:sz w:val="20"/>
                <w:szCs w:val="20"/>
                <w:lang w:val="en-US" w:eastAsia="zh-CN" w:bidi="ar"/>
              </w:rPr>
              <w:t>值</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5D00BB5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计量单位</w:t>
            </w:r>
          </w:p>
        </w:tc>
        <w:tc>
          <w:tcPr>
            <w:tcW w:w="23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4682C1">
            <w:pPr>
              <w:jc w:val="center"/>
              <w:rPr>
                <w:rFonts w:hint="eastAsia" w:ascii="宋体" w:hAnsi="宋体" w:eastAsia="宋体" w:cs="宋体"/>
                <w:b/>
                <w:bCs/>
                <w:i w:val="0"/>
                <w:iCs w:val="0"/>
                <w:color w:val="000000"/>
                <w:sz w:val="20"/>
                <w:szCs w:val="20"/>
                <w:u w:val="none"/>
              </w:rPr>
            </w:pPr>
          </w:p>
        </w:tc>
        <w:tc>
          <w:tcPr>
            <w:tcW w:w="338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223DE46">
            <w:pPr>
              <w:jc w:val="center"/>
              <w:rPr>
                <w:rFonts w:hint="eastAsia" w:ascii="宋体" w:hAnsi="宋体" w:eastAsia="宋体" w:cs="宋体"/>
                <w:b/>
                <w:bCs/>
                <w:i w:val="0"/>
                <w:iCs w:val="0"/>
                <w:color w:val="000000"/>
                <w:sz w:val="20"/>
                <w:szCs w:val="20"/>
                <w:u w:val="none"/>
              </w:rPr>
            </w:pPr>
          </w:p>
        </w:tc>
      </w:tr>
      <w:tr w14:paraId="79A71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5" w:hRule="atLeast"/>
          <w:jc w:val="center"/>
        </w:trPr>
        <w:tc>
          <w:tcPr>
            <w:tcW w:w="1426" w:type="dxa"/>
            <w:vMerge w:val="restart"/>
            <w:tcBorders>
              <w:top w:val="single" w:color="auto" w:sz="4" w:space="0"/>
              <w:left w:val="single" w:color="auto" w:sz="4" w:space="0"/>
              <w:right w:val="single" w:color="auto" w:sz="4" w:space="0"/>
            </w:tcBorders>
            <w:shd w:val="clear" w:color="auto" w:fill="auto"/>
            <w:vAlign w:val="center"/>
          </w:tcPr>
          <w:p w14:paraId="47097CB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产出指标</w:t>
            </w:r>
          </w:p>
        </w:tc>
        <w:tc>
          <w:tcPr>
            <w:tcW w:w="179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13319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1731" w:type="dxa"/>
            <w:tcBorders>
              <w:top w:val="single" w:color="auto" w:sz="4" w:space="0"/>
              <w:left w:val="single" w:color="auto" w:sz="4" w:space="0"/>
              <w:bottom w:val="single" w:color="auto" w:sz="4" w:space="0"/>
              <w:right w:val="single" w:color="auto" w:sz="4" w:space="0"/>
            </w:tcBorders>
            <w:shd w:val="clear" w:color="auto" w:fill="auto"/>
            <w:vAlign w:val="center"/>
          </w:tcPr>
          <w:p w14:paraId="3B739D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改造村卫生室数</w:t>
            </w:r>
          </w:p>
        </w:tc>
        <w:tc>
          <w:tcPr>
            <w:tcW w:w="1360" w:type="dxa"/>
            <w:tcBorders>
              <w:top w:val="single" w:color="auto" w:sz="4" w:space="0"/>
              <w:left w:val="single" w:color="auto" w:sz="4" w:space="0"/>
              <w:bottom w:val="single" w:color="auto" w:sz="4" w:space="0"/>
              <w:right w:val="single" w:color="auto" w:sz="4" w:space="0"/>
            </w:tcBorders>
            <w:shd w:val="clear" w:color="auto" w:fill="auto"/>
            <w:vAlign w:val="center"/>
          </w:tcPr>
          <w:p w14:paraId="581EB8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6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0CCD4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54D553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362" w:type="dxa"/>
            <w:tcBorders>
              <w:top w:val="single" w:color="auto" w:sz="4" w:space="0"/>
              <w:left w:val="single" w:color="auto" w:sz="4" w:space="0"/>
              <w:bottom w:val="single" w:color="auto" w:sz="4" w:space="0"/>
              <w:right w:val="single" w:color="auto" w:sz="4" w:space="0"/>
            </w:tcBorders>
            <w:shd w:val="clear" w:color="auto" w:fill="auto"/>
            <w:vAlign w:val="center"/>
          </w:tcPr>
          <w:p w14:paraId="450E34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反映本项目实施后，改造村卫生室情况</w:t>
            </w:r>
          </w:p>
        </w:tc>
        <w:tc>
          <w:tcPr>
            <w:tcW w:w="3383" w:type="dxa"/>
            <w:tcBorders>
              <w:top w:val="single" w:color="auto" w:sz="4" w:space="0"/>
              <w:left w:val="single" w:color="auto" w:sz="4" w:space="0"/>
              <w:bottom w:val="single" w:color="auto" w:sz="4" w:space="0"/>
              <w:right w:val="single" w:color="auto" w:sz="4" w:space="0"/>
            </w:tcBorders>
            <w:shd w:val="clear" w:color="auto" w:fill="auto"/>
            <w:vAlign w:val="center"/>
          </w:tcPr>
          <w:p w14:paraId="3E1F30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评分标准：改造村卫生室数≥9个，得满分，每少1个扣1分，扣完为止。</w:t>
            </w:r>
          </w:p>
        </w:tc>
      </w:tr>
      <w:tr w14:paraId="6C17E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5" w:hRule="atLeast"/>
          <w:jc w:val="center"/>
        </w:trPr>
        <w:tc>
          <w:tcPr>
            <w:tcW w:w="1426" w:type="dxa"/>
            <w:vMerge w:val="continue"/>
            <w:tcBorders>
              <w:left w:val="single" w:color="auto" w:sz="4" w:space="0"/>
              <w:right w:val="single" w:color="auto" w:sz="4" w:space="0"/>
            </w:tcBorders>
            <w:shd w:val="clear" w:color="auto" w:fill="auto"/>
            <w:vAlign w:val="center"/>
          </w:tcPr>
          <w:p w14:paraId="362BDEC1">
            <w:pPr>
              <w:jc w:val="center"/>
              <w:rPr>
                <w:rFonts w:hint="eastAsia" w:ascii="宋体" w:hAnsi="宋体" w:eastAsia="宋体" w:cs="宋体"/>
                <w:b/>
                <w:bCs/>
                <w:i w:val="0"/>
                <w:iCs w:val="0"/>
                <w:color w:val="000000"/>
                <w:sz w:val="20"/>
                <w:szCs w:val="20"/>
                <w:u w:val="none"/>
              </w:rPr>
            </w:pPr>
          </w:p>
        </w:tc>
        <w:tc>
          <w:tcPr>
            <w:tcW w:w="17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6F3F6D">
            <w:pPr>
              <w:jc w:val="center"/>
              <w:rPr>
                <w:rFonts w:hint="eastAsia" w:ascii="宋体" w:hAnsi="宋体" w:eastAsia="宋体" w:cs="宋体"/>
                <w:i w:val="0"/>
                <w:iCs w:val="0"/>
                <w:color w:val="000000"/>
                <w:sz w:val="20"/>
                <w:szCs w:val="20"/>
                <w:u w:val="none"/>
              </w:rPr>
            </w:pPr>
          </w:p>
        </w:tc>
        <w:tc>
          <w:tcPr>
            <w:tcW w:w="1731" w:type="dxa"/>
            <w:tcBorders>
              <w:top w:val="single" w:color="auto" w:sz="4" w:space="0"/>
              <w:left w:val="single" w:color="auto" w:sz="4" w:space="0"/>
              <w:bottom w:val="single" w:color="auto" w:sz="4" w:space="0"/>
              <w:right w:val="single" w:color="auto" w:sz="4" w:space="0"/>
            </w:tcBorders>
            <w:shd w:val="clear" w:color="auto" w:fill="auto"/>
            <w:vAlign w:val="center"/>
          </w:tcPr>
          <w:p w14:paraId="001034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新建卫生服务站面积</w:t>
            </w:r>
          </w:p>
        </w:tc>
        <w:tc>
          <w:tcPr>
            <w:tcW w:w="1360" w:type="dxa"/>
            <w:tcBorders>
              <w:top w:val="single" w:color="auto" w:sz="4" w:space="0"/>
              <w:left w:val="single" w:color="auto" w:sz="4" w:space="0"/>
              <w:bottom w:val="single" w:color="auto" w:sz="4" w:space="0"/>
              <w:right w:val="single" w:color="auto" w:sz="4" w:space="0"/>
            </w:tcBorders>
            <w:shd w:val="clear" w:color="auto" w:fill="auto"/>
            <w:vAlign w:val="center"/>
          </w:tcPr>
          <w:p w14:paraId="60796E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6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C6221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026051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平方米</w:t>
            </w:r>
          </w:p>
        </w:tc>
        <w:tc>
          <w:tcPr>
            <w:tcW w:w="2362" w:type="dxa"/>
            <w:tcBorders>
              <w:top w:val="single" w:color="auto" w:sz="4" w:space="0"/>
              <w:left w:val="single" w:color="auto" w:sz="4" w:space="0"/>
              <w:bottom w:val="single" w:color="auto" w:sz="4" w:space="0"/>
              <w:right w:val="single" w:color="auto" w:sz="4" w:space="0"/>
            </w:tcBorders>
            <w:shd w:val="clear" w:color="auto" w:fill="auto"/>
            <w:vAlign w:val="center"/>
          </w:tcPr>
          <w:p w14:paraId="4AB482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反映本项目实施后，新建卫生服务站情况</w:t>
            </w:r>
          </w:p>
        </w:tc>
        <w:tc>
          <w:tcPr>
            <w:tcW w:w="3383" w:type="dxa"/>
            <w:tcBorders>
              <w:top w:val="single" w:color="auto" w:sz="4" w:space="0"/>
              <w:left w:val="single" w:color="auto" w:sz="4" w:space="0"/>
              <w:bottom w:val="single" w:color="auto" w:sz="4" w:space="0"/>
              <w:right w:val="single" w:color="auto" w:sz="4" w:space="0"/>
            </w:tcBorders>
            <w:shd w:val="clear" w:color="auto" w:fill="auto"/>
            <w:vAlign w:val="center"/>
          </w:tcPr>
          <w:p w14:paraId="3BB681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评分标准：新建卫生服务站面积≥300平方米，得满分，每少10平方米，扣0.5分，扣完为止。</w:t>
            </w:r>
          </w:p>
        </w:tc>
      </w:tr>
      <w:tr w14:paraId="7EA91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5" w:hRule="atLeast"/>
          <w:jc w:val="center"/>
        </w:trPr>
        <w:tc>
          <w:tcPr>
            <w:tcW w:w="1426" w:type="dxa"/>
            <w:vMerge w:val="continue"/>
            <w:tcBorders>
              <w:left w:val="single" w:color="auto" w:sz="4" w:space="0"/>
              <w:bottom w:val="single" w:color="auto" w:sz="4" w:space="0"/>
              <w:right w:val="single" w:color="auto" w:sz="4" w:space="0"/>
            </w:tcBorders>
            <w:shd w:val="clear" w:color="auto" w:fill="auto"/>
            <w:vAlign w:val="center"/>
          </w:tcPr>
          <w:p w14:paraId="68B177DA">
            <w:pPr>
              <w:jc w:val="center"/>
              <w:rPr>
                <w:rFonts w:hint="eastAsia" w:ascii="宋体" w:hAnsi="宋体" w:eastAsia="宋体" w:cs="宋体"/>
                <w:b/>
                <w:bCs/>
                <w:i w:val="0"/>
                <w:iCs w:val="0"/>
                <w:color w:val="000000"/>
                <w:sz w:val="20"/>
                <w:szCs w:val="20"/>
                <w:u w:val="none"/>
              </w:rPr>
            </w:pPr>
          </w:p>
        </w:tc>
        <w:tc>
          <w:tcPr>
            <w:tcW w:w="1795" w:type="dxa"/>
            <w:tcBorders>
              <w:top w:val="single" w:color="auto" w:sz="4" w:space="0"/>
              <w:left w:val="single" w:color="auto" w:sz="4" w:space="0"/>
              <w:bottom w:val="single" w:color="auto" w:sz="4" w:space="0"/>
              <w:right w:val="single" w:color="auto" w:sz="4" w:space="0"/>
            </w:tcBorders>
            <w:shd w:val="clear" w:color="auto" w:fill="auto"/>
            <w:vAlign w:val="center"/>
          </w:tcPr>
          <w:p w14:paraId="791BD4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1731" w:type="dxa"/>
            <w:tcBorders>
              <w:top w:val="single" w:color="auto" w:sz="4" w:space="0"/>
              <w:left w:val="single" w:color="auto" w:sz="4" w:space="0"/>
              <w:bottom w:val="single" w:color="auto" w:sz="4" w:space="0"/>
              <w:right w:val="single" w:color="auto" w:sz="4" w:space="0"/>
            </w:tcBorders>
            <w:shd w:val="clear" w:color="auto" w:fill="auto"/>
            <w:vAlign w:val="center"/>
          </w:tcPr>
          <w:p w14:paraId="17AC4D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村卫生室项目竣工验收合格率</w:t>
            </w:r>
          </w:p>
        </w:tc>
        <w:tc>
          <w:tcPr>
            <w:tcW w:w="1360" w:type="dxa"/>
            <w:tcBorders>
              <w:top w:val="single" w:color="auto" w:sz="4" w:space="0"/>
              <w:left w:val="single" w:color="auto" w:sz="4" w:space="0"/>
              <w:bottom w:val="single" w:color="auto" w:sz="4" w:space="0"/>
              <w:right w:val="single" w:color="auto" w:sz="4" w:space="0"/>
            </w:tcBorders>
            <w:shd w:val="clear" w:color="auto" w:fill="auto"/>
            <w:vAlign w:val="center"/>
          </w:tcPr>
          <w:p w14:paraId="65975A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6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A6C46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65BFBA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362" w:type="dxa"/>
            <w:tcBorders>
              <w:top w:val="single" w:color="auto" w:sz="4" w:space="0"/>
              <w:left w:val="single" w:color="auto" w:sz="4" w:space="0"/>
              <w:bottom w:val="single" w:color="auto" w:sz="4" w:space="0"/>
              <w:right w:val="single" w:color="auto" w:sz="4" w:space="0"/>
            </w:tcBorders>
            <w:shd w:val="clear" w:color="auto" w:fill="auto"/>
            <w:vAlign w:val="center"/>
          </w:tcPr>
          <w:p w14:paraId="4E523A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反映本项目村卫生室项目竣工验收合格情况</w:t>
            </w:r>
          </w:p>
        </w:tc>
        <w:tc>
          <w:tcPr>
            <w:tcW w:w="3383" w:type="dxa"/>
            <w:tcBorders>
              <w:top w:val="single" w:color="auto" w:sz="4" w:space="0"/>
              <w:left w:val="single" w:color="auto" w:sz="4" w:space="0"/>
              <w:bottom w:val="single" w:color="auto" w:sz="4" w:space="0"/>
              <w:right w:val="single" w:color="auto" w:sz="4" w:space="0"/>
            </w:tcBorders>
            <w:shd w:val="clear" w:color="auto" w:fill="auto"/>
            <w:vAlign w:val="center"/>
          </w:tcPr>
          <w:p w14:paraId="3AD182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评分标准：村卫生室项目竣工验收合格率=100%，得满分，否则不得分。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村卫生室项目竣工验收合格率=竣工验收通过项数/总验收项数</w:t>
            </w:r>
          </w:p>
        </w:tc>
      </w:tr>
      <w:tr w14:paraId="07613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jc w:val="center"/>
        </w:trPr>
        <w:tc>
          <w:tcPr>
            <w:tcW w:w="142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890B286">
            <w:pPr>
              <w:jc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产出指标</w:t>
            </w:r>
          </w:p>
        </w:tc>
        <w:tc>
          <w:tcPr>
            <w:tcW w:w="1795" w:type="dxa"/>
            <w:tcBorders>
              <w:top w:val="single" w:color="auto" w:sz="4" w:space="0"/>
              <w:left w:val="single" w:color="auto" w:sz="4" w:space="0"/>
              <w:bottom w:val="single" w:color="auto" w:sz="4" w:space="0"/>
              <w:right w:val="single" w:color="auto" w:sz="4" w:space="0"/>
            </w:tcBorders>
            <w:shd w:val="clear" w:color="auto" w:fill="auto"/>
            <w:vAlign w:val="center"/>
          </w:tcPr>
          <w:p w14:paraId="245520F9">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1731" w:type="dxa"/>
            <w:tcBorders>
              <w:top w:val="single" w:color="auto" w:sz="4" w:space="0"/>
              <w:left w:val="single" w:color="auto" w:sz="4" w:space="0"/>
              <w:bottom w:val="single" w:color="auto" w:sz="4" w:space="0"/>
              <w:right w:val="single" w:color="auto" w:sz="4" w:space="0"/>
            </w:tcBorders>
            <w:shd w:val="clear" w:color="auto" w:fill="auto"/>
            <w:vAlign w:val="center"/>
          </w:tcPr>
          <w:p w14:paraId="66D6EB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新建卫生服务站项目竣工验收合格率</w:t>
            </w:r>
          </w:p>
        </w:tc>
        <w:tc>
          <w:tcPr>
            <w:tcW w:w="1360" w:type="dxa"/>
            <w:tcBorders>
              <w:top w:val="single" w:color="auto" w:sz="4" w:space="0"/>
              <w:left w:val="single" w:color="auto" w:sz="4" w:space="0"/>
              <w:bottom w:val="single" w:color="auto" w:sz="4" w:space="0"/>
              <w:right w:val="single" w:color="auto" w:sz="4" w:space="0"/>
            </w:tcBorders>
            <w:shd w:val="clear" w:color="auto" w:fill="auto"/>
            <w:vAlign w:val="center"/>
          </w:tcPr>
          <w:p w14:paraId="43DD57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6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2736C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2B273F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362" w:type="dxa"/>
            <w:tcBorders>
              <w:top w:val="single" w:color="auto" w:sz="4" w:space="0"/>
              <w:left w:val="single" w:color="auto" w:sz="4" w:space="0"/>
              <w:bottom w:val="single" w:color="auto" w:sz="4" w:space="0"/>
              <w:right w:val="single" w:color="auto" w:sz="4" w:space="0"/>
            </w:tcBorders>
            <w:shd w:val="clear" w:color="auto" w:fill="auto"/>
            <w:vAlign w:val="center"/>
          </w:tcPr>
          <w:p w14:paraId="682D08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反映本项目新建卫生服务站项目竣工验收合格情况</w:t>
            </w:r>
          </w:p>
        </w:tc>
        <w:tc>
          <w:tcPr>
            <w:tcW w:w="3383" w:type="dxa"/>
            <w:tcBorders>
              <w:top w:val="single" w:color="auto" w:sz="4" w:space="0"/>
              <w:left w:val="single" w:color="auto" w:sz="4" w:space="0"/>
              <w:bottom w:val="single" w:color="auto" w:sz="4" w:space="0"/>
              <w:right w:val="single" w:color="auto" w:sz="4" w:space="0"/>
            </w:tcBorders>
            <w:shd w:val="clear" w:color="auto" w:fill="auto"/>
            <w:vAlign w:val="center"/>
          </w:tcPr>
          <w:p w14:paraId="3B20E6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评分标准：新建卫生服务站项目竣工验收合格率=100%，得满分，否则不得分。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新建卫生服务站项目竣工验收合格率=竣工验收通过项数/总验收项数</w:t>
            </w:r>
          </w:p>
        </w:tc>
      </w:tr>
      <w:tr w14:paraId="085F3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3" w:hRule="atLeast"/>
          <w:jc w:val="center"/>
        </w:trPr>
        <w:tc>
          <w:tcPr>
            <w:tcW w:w="14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713348F">
            <w:pPr>
              <w:jc w:val="center"/>
              <w:rPr>
                <w:rFonts w:hint="eastAsia" w:ascii="宋体" w:hAnsi="宋体" w:eastAsia="宋体" w:cs="宋体"/>
                <w:b/>
                <w:bCs/>
                <w:i w:val="0"/>
                <w:iCs w:val="0"/>
                <w:color w:val="000000"/>
                <w:sz w:val="20"/>
                <w:szCs w:val="20"/>
                <w:u w:val="none"/>
              </w:rPr>
            </w:pPr>
          </w:p>
        </w:tc>
        <w:tc>
          <w:tcPr>
            <w:tcW w:w="179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7DD34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1731" w:type="dxa"/>
            <w:tcBorders>
              <w:top w:val="single" w:color="auto" w:sz="4" w:space="0"/>
              <w:left w:val="single" w:color="auto" w:sz="4" w:space="0"/>
              <w:bottom w:val="single" w:color="auto" w:sz="4" w:space="0"/>
              <w:right w:val="single" w:color="auto" w:sz="4" w:space="0"/>
            </w:tcBorders>
            <w:shd w:val="clear" w:color="auto" w:fill="auto"/>
            <w:vAlign w:val="center"/>
          </w:tcPr>
          <w:p w14:paraId="528515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村卫生室项目建设工期</w:t>
            </w:r>
          </w:p>
        </w:tc>
        <w:tc>
          <w:tcPr>
            <w:tcW w:w="1360" w:type="dxa"/>
            <w:tcBorders>
              <w:top w:val="single" w:color="auto" w:sz="4" w:space="0"/>
              <w:left w:val="single" w:color="auto" w:sz="4" w:space="0"/>
              <w:bottom w:val="single" w:color="auto" w:sz="4" w:space="0"/>
              <w:right w:val="single" w:color="auto" w:sz="4" w:space="0"/>
            </w:tcBorders>
            <w:shd w:val="clear" w:color="auto" w:fill="auto"/>
            <w:vAlign w:val="center"/>
          </w:tcPr>
          <w:p w14:paraId="01CA95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6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D1EF5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051283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2362" w:type="dxa"/>
            <w:tcBorders>
              <w:top w:val="single" w:color="auto" w:sz="4" w:space="0"/>
              <w:left w:val="single" w:color="auto" w:sz="4" w:space="0"/>
              <w:bottom w:val="single" w:color="auto" w:sz="4" w:space="0"/>
              <w:right w:val="single" w:color="auto" w:sz="4" w:space="0"/>
            </w:tcBorders>
            <w:shd w:val="clear" w:color="auto" w:fill="auto"/>
            <w:vAlign w:val="center"/>
          </w:tcPr>
          <w:p w14:paraId="1EE1A8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反映村卫生室项目建设工期情况</w:t>
            </w:r>
          </w:p>
        </w:tc>
        <w:tc>
          <w:tcPr>
            <w:tcW w:w="3383" w:type="dxa"/>
            <w:tcBorders>
              <w:top w:val="single" w:color="auto" w:sz="4" w:space="0"/>
              <w:left w:val="single" w:color="auto" w:sz="4" w:space="0"/>
              <w:bottom w:val="single" w:color="auto" w:sz="4" w:space="0"/>
              <w:right w:val="single" w:color="auto" w:sz="4" w:space="0"/>
            </w:tcBorders>
            <w:shd w:val="clear" w:color="auto" w:fill="auto"/>
            <w:vAlign w:val="center"/>
          </w:tcPr>
          <w:p w14:paraId="0B344D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评分标准：村卫生室项目建设工期≤150天，得满分。每多1天，扣0.1分，扣完为止。</w:t>
            </w:r>
          </w:p>
        </w:tc>
      </w:tr>
      <w:tr w14:paraId="6E06F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5" w:hRule="atLeast"/>
          <w:jc w:val="center"/>
        </w:trPr>
        <w:tc>
          <w:tcPr>
            <w:tcW w:w="14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0A1CD0E">
            <w:pPr>
              <w:jc w:val="center"/>
              <w:rPr>
                <w:rFonts w:hint="eastAsia" w:ascii="宋体" w:hAnsi="宋体" w:eastAsia="宋体" w:cs="宋体"/>
                <w:b/>
                <w:bCs/>
                <w:i w:val="0"/>
                <w:iCs w:val="0"/>
                <w:color w:val="000000"/>
                <w:sz w:val="20"/>
                <w:szCs w:val="20"/>
                <w:u w:val="none"/>
              </w:rPr>
            </w:pPr>
          </w:p>
        </w:tc>
        <w:tc>
          <w:tcPr>
            <w:tcW w:w="17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59FFD3E">
            <w:pPr>
              <w:jc w:val="center"/>
              <w:rPr>
                <w:rFonts w:hint="eastAsia" w:ascii="宋体" w:hAnsi="宋体" w:eastAsia="宋体" w:cs="宋体"/>
                <w:i w:val="0"/>
                <w:iCs w:val="0"/>
                <w:color w:val="000000"/>
                <w:sz w:val="20"/>
                <w:szCs w:val="20"/>
                <w:u w:val="none"/>
              </w:rPr>
            </w:pPr>
          </w:p>
        </w:tc>
        <w:tc>
          <w:tcPr>
            <w:tcW w:w="1731" w:type="dxa"/>
            <w:tcBorders>
              <w:top w:val="single" w:color="auto" w:sz="4" w:space="0"/>
              <w:left w:val="single" w:color="auto" w:sz="4" w:space="0"/>
              <w:bottom w:val="single" w:color="auto" w:sz="4" w:space="0"/>
              <w:right w:val="single" w:color="auto" w:sz="4" w:space="0"/>
            </w:tcBorders>
            <w:shd w:val="clear" w:color="auto" w:fill="auto"/>
            <w:vAlign w:val="center"/>
          </w:tcPr>
          <w:p w14:paraId="23177C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新建卫生服务站项目建设工期</w:t>
            </w:r>
          </w:p>
        </w:tc>
        <w:tc>
          <w:tcPr>
            <w:tcW w:w="1360" w:type="dxa"/>
            <w:tcBorders>
              <w:top w:val="single" w:color="auto" w:sz="4" w:space="0"/>
              <w:left w:val="single" w:color="auto" w:sz="4" w:space="0"/>
              <w:bottom w:val="single" w:color="auto" w:sz="4" w:space="0"/>
              <w:right w:val="single" w:color="auto" w:sz="4" w:space="0"/>
            </w:tcBorders>
            <w:shd w:val="clear" w:color="auto" w:fill="auto"/>
            <w:vAlign w:val="center"/>
          </w:tcPr>
          <w:p w14:paraId="20E88D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6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54EA2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0E8079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2362" w:type="dxa"/>
            <w:tcBorders>
              <w:top w:val="single" w:color="auto" w:sz="4" w:space="0"/>
              <w:left w:val="single" w:color="auto" w:sz="4" w:space="0"/>
              <w:bottom w:val="single" w:color="auto" w:sz="4" w:space="0"/>
              <w:right w:val="single" w:color="auto" w:sz="4" w:space="0"/>
            </w:tcBorders>
            <w:shd w:val="clear" w:color="auto" w:fill="auto"/>
            <w:vAlign w:val="center"/>
          </w:tcPr>
          <w:p w14:paraId="577FA0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反映新建卫生服务站项目建设工期情况</w:t>
            </w:r>
          </w:p>
        </w:tc>
        <w:tc>
          <w:tcPr>
            <w:tcW w:w="3383" w:type="dxa"/>
            <w:tcBorders>
              <w:top w:val="single" w:color="auto" w:sz="4" w:space="0"/>
              <w:left w:val="single" w:color="auto" w:sz="4" w:space="0"/>
              <w:bottom w:val="single" w:color="auto" w:sz="4" w:space="0"/>
              <w:right w:val="single" w:color="auto" w:sz="4" w:space="0"/>
            </w:tcBorders>
            <w:shd w:val="clear" w:color="auto" w:fill="auto"/>
            <w:vAlign w:val="center"/>
          </w:tcPr>
          <w:p w14:paraId="55CD0B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评分标准：新建卫生服务站项目建设工期≤150天，得满分。每多1天，扣0.1分，扣完为止。</w:t>
            </w:r>
          </w:p>
        </w:tc>
      </w:tr>
      <w:tr w14:paraId="7E03B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4" w:hRule="atLeast"/>
          <w:jc w:val="center"/>
        </w:trPr>
        <w:tc>
          <w:tcPr>
            <w:tcW w:w="14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22C0915">
            <w:pPr>
              <w:jc w:val="center"/>
              <w:rPr>
                <w:rFonts w:hint="eastAsia" w:ascii="宋体" w:hAnsi="宋体" w:eastAsia="宋体" w:cs="宋体"/>
                <w:b/>
                <w:bCs/>
                <w:i w:val="0"/>
                <w:iCs w:val="0"/>
                <w:color w:val="000000"/>
                <w:sz w:val="20"/>
                <w:szCs w:val="20"/>
                <w:u w:val="none"/>
              </w:rPr>
            </w:pPr>
          </w:p>
        </w:tc>
        <w:tc>
          <w:tcPr>
            <w:tcW w:w="1795" w:type="dxa"/>
            <w:vMerge w:val="restart"/>
            <w:tcBorders>
              <w:top w:val="single" w:color="auto" w:sz="4" w:space="0"/>
              <w:left w:val="single" w:color="auto" w:sz="4" w:space="0"/>
              <w:right w:val="single" w:color="auto" w:sz="4" w:space="0"/>
            </w:tcBorders>
            <w:shd w:val="clear" w:color="auto" w:fill="auto"/>
            <w:vAlign w:val="center"/>
          </w:tcPr>
          <w:p w14:paraId="153574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1731" w:type="dxa"/>
            <w:tcBorders>
              <w:top w:val="single" w:color="auto" w:sz="4" w:space="0"/>
              <w:left w:val="single" w:color="auto" w:sz="4" w:space="0"/>
              <w:bottom w:val="single" w:color="auto" w:sz="4" w:space="0"/>
              <w:right w:val="single" w:color="auto" w:sz="4" w:space="0"/>
            </w:tcBorders>
            <w:shd w:val="clear" w:color="auto" w:fill="FFFFFF"/>
            <w:vAlign w:val="center"/>
          </w:tcPr>
          <w:p w14:paraId="0AE34A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项目或定额成本控制率</w:t>
            </w:r>
          </w:p>
        </w:tc>
        <w:tc>
          <w:tcPr>
            <w:tcW w:w="1360" w:type="dxa"/>
            <w:tcBorders>
              <w:top w:val="single" w:color="auto" w:sz="4" w:space="0"/>
              <w:left w:val="single" w:color="auto" w:sz="4" w:space="0"/>
              <w:bottom w:val="single" w:color="auto" w:sz="4" w:space="0"/>
              <w:right w:val="single" w:color="auto" w:sz="4" w:space="0"/>
            </w:tcBorders>
            <w:shd w:val="clear" w:color="auto" w:fill="FFFFFF"/>
            <w:vAlign w:val="center"/>
          </w:tcPr>
          <w:p w14:paraId="0FA024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682"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5EEEC6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275" w:type="dxa"/>
            <w:tcBorders>
              <w:top w:val="single" w:color="auto" w:sz="4" w:space="0"/>
              <w:left w:val="single" w:color="auto" w:sz="4" w:space="0"/>
              <w:bottom w:val="single" w:color="auto" w:sz="4" w:space="0"/>
              <w:right w:val="single" w:color="auto" w:sz="4" w:space="0"/>
            </w:tcBorders>
            <w:shd w:val="clear" w:color="auto" w:fill="FFFFFF"/>
            <w:vAlign w:val="center"/>
          </w:tcPr>
          <w:p w14:paraId="51ED41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362" w:type="dxa"/>
            <w:tcBorders>
              <w:top w:val="single" w:color="auto" w:sz="4" w:space="0"/>
              <w:left w:val="single" w:color="auto" w:sz="4" w:space="0"/>
              <w:bottom w:val="single" w:color="auto" w:sz="4" w:space="0"/>
              <w:right w:val="single" w:color="auto" w:sz="4" w:space="0"/>
            </w:tcBorders>
            <w:shd w:val="clear" w:color="auto" w:fill="FFFFFF"/>
            <w:vAlign w:val="center"/>
          </w:tcPr>
          <w:p w14:paraId="57BDFC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反映本项目总成本控制情况</w:t>
            </w:r>
          </w:p>
        </w:tc>
        <w:tc>
          <w:tcPr>
            <w:tcW w:w="3383" w:type="dxa"/>
            <w:tcBorders>
              <w:top w:val="single" w:color="auto" w:sz="4" w:space="0"/>
              <w:left w:val="single" w:color="auto" w:sz="4" w:space="0"/>
              <w:bottom w:val="single" w:color="auto" w:sz="4" w:space="0"/>
              <w:right w:val="single" w:color="auto" w:sz="4" w:space="0"/>
            </w:tcBorders>
            <w:shd w:val="clear" w:color="auto" w:fill="FFFFFF"/>
            <w:vAlign w:val="center"/>
          </w:tcPr>
          <w:p w14:paraId="3831B8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评分标准：定额成本控制率≤100%，得满分，否则不得分。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定额成本控制率=本项目年度执行数/本项目总预算数</w:t>
            </w:r>
          </w:p>
        </w:tc>
      </w:tr>
      <w:tr w14:paraId="0B6EA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7" w:hRule="atLeast"/>
          <w:jc w:val="center"/>
        </w:trPr>
        <w:tc>
          <w:tcPr>
            <w:tcW w:w="14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35858E6">
            <w:pPr>
              <w:jc w:val="center"/>
              <w:rPr>
                <w:rFonts w:hint="eastAsia" w:ascii="宋体" w:hAnsi="宋体" w:eastAsia="宋体" w:cs="宋体"/>
                <w:b/>
                <w:bCs/>
                <w:i w:val="0"/>
                <w:iCs w:val="0"/>
                <w:color w:val="000000"/>
                <w:sz w:val="20"/>
                <w:szCs w:val="20"/>
                <w:u w:val="none"/>
              </w:rPr>
            </w:pPr>
          </w:p>
        </w:tc>
        <w:tc>
          <w:tcPr>
            <w:tcW w:w="1795" w:type="dxa"/>
            <w:vMerge w:val="continue"/>
            <w:tcBorders>
              <w:left w:val="single" w:color="auto" w:sz="4" w:space="0"/>
              <w:bottom w:val="single" w:color="auto" w:sz="4" w:space="0"/>
              <w:right w:val="single" w:color="auto" w:sz="4" w:space="0"/>
            </w:tcBorders>
            <w:shd w:val="clear" w:color="auto" w:fill="auto"/>
            <w:vAlign w:val="center"/>
          </w:tcPr>
          <w:p w14:paraId="7FD2D945">
            <w:pPr>
              <w:jc w:val="center"/>
              <w:rPr>
                <w:rFonts w:hint="eastAsia" w:ascii="宋体" w:hAnsi="宋体" w:eastAsia="宋体" w:cs="宋体"/>
                <w:i w:val="0"/>
                <w:iCs w:val="0"/>
                <w:color w:val="000000"/>
                <w:sz w:val="20"/>
                <w:szCs w:val="20"/>
                <w:u w:val="none"/>
              </w:rPr>
            </w:pPr>
          </w:p>
        </w:tc>
        <w:tc>
          <w:tcPr>
            <w:tcW w:w="1731" w:type="dxa"/>
            <w:tcBorders>
              <w:top w:val="single" w:color="auto" w:sz="4" w:space="0"/>
              <w:left w:val="single" w:color="auto" w:sz="4" w:space="0"/>
              <w:bottom w:val="single" w:color="auto" w:sz="4" w:space="0"/>
              <w:right w:val="single" w:color="auto" w:sz="4" w:space="0"/>
            </w:tcBorders>
            <w:shd w:val="clear" w:color="auto" w:fill="auto"/>
            <w:vAlign w:val="center"/>
          </w:tcPr>
          <w:p w14:paraId="3C3C43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村卫生室提升改造成本</w:t>
            </w:r>
          </w:p>
        </w:tc>
        <w:tc>
          <w:tcPr>
            <w:tcW w:w="1360" w:type="dxa"/>
            <w:tcBorders>
              <w:top w:val="single" w:color="auto" w:sz="4" w:space="0"/>
              <w:left w:val="single" w:color="auto" w:sz="4" w:space="0"/>
              <w:bottom w:val="single" w:color="auto" w:sz="4" w:space="0"/>
              <w:right w:val="single" w:color="auto" w:sz="4" w:space="0"/>
            </w:tcBorders>
            <w:shd w:val="clear" w:color="auto" w:fill="auto"/>
            <w:vAlign w:val="center"/>
          </w:tcPr>
          <w:p w14:paraId="596C17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6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2A0B2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450000</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4A59E8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w:t>
            </w:r>
          </w:p>
        </w:tc>
        <w:tc>
          <w:tcPr>
            <w:tcW w:w="2362" w:type="dxa"/>
            <w:tcBorders>
              <w:top w:val="single" w:color="auto" w:sz="4" w:space="0"/>
              <w:left w:val="single" w:color="auto" w:sz="4" w:space="0"/>
              <w:bottom w:val="single" w:color="auto" w:sz="4" w:space="0"/>
              <w:right w:val="single" w:color="auto" w:sz="4" w:space="0"/>
            </w:tcBorders>
            <w:shd w:val="clear" w:color="auto" w:fill="auto"/>
            <w:vAlign w:val="center"/>
          </w:tcPr>
          <w:p w14:paraId="5BBABF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反映村卫生室提升改造成本控制情况</w:t>
            </w:r>
          </w:p>
        </w:tc>
        <w:tc>
          <w:tcPr>
            <w:tcW w:w="3383" w:type="dxa"/>
            <w:tcBorders>
              <w:top w:val="single" w:color="auto" w:sz="4" w:space="0"/>
              <w:left w:val="single" w:color="auto" w:sz="4" w:space="0"/>
              <w:bottom w:val="single" w:color="auto" w:sz="4" w:space="0"/>
              <w:right w:val="single" w:color="auto" w:sz="4" w:space="0"/>
            </w:tcBorders>
            <w:shd w:val="clear" w:color="auto" w:fill="auto"/>
            <w:vAlign w:val="center"/>
          </w:tcPr>
          <w:p w14:paraId="4CF5B7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评分标准：村卫生室提升改造成本≤450000元，得满分，否则不得分。</w:t>
            </w:r>
          </w:p>
        </w:tc>
      </w:tr>
      <w:tr w14:paraId="3C602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749D32A9">
            <w:pPr>
              <w:jc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产出指标</w:t>
            </w:r>
          </w:p>
        </w:tc>
        <w:tc>
          <w:tcPr>
            <w:tcW w:w="1795" w:type="dxa"/>
            <w:tcBorders>
              <w:top w:val="single" w:color="auto" w:sz="4" w:space="0"/>
              <w:left w:val="single" w:color="auto" w:sz="4" w:space="0"/>
              <w:bottom w:val="single" w:color="auto" w:sz="4" w:space="0"/>
              <w:right w:val="single" w:color="auto" w:sz="4" w:space="0"/>
            </w:tcBorders>
            <w:shd w:val="clear" w:color="auto" w:fill="auto"/>
            <w:vAlign w:val="center"/>
          </w:tcPr>
          <w:p w14:paraId="63894E31">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1731" w:type="dxa"/>
            <w:tcBorders>
              <w:top w:val="single" w:color="auto" w:sz="4" w:space="0"/>
              <w:left w:val="single" w:color="auto" w:sz="4" w:space="0"/>
              <w:bottom w:val="single" w:color="auto" w:sz="4" w:space="0"/>
              <w:right w:val="single" w:color="auto" w:sz="4" w:space="0"/>
            </w:tcBorders>
            <w:shd w:val="clear" w:color="auto" w:fill="auto"/>
            <w:vAlign w:val="center"/>
          </w:tcPr>
          <w:p w14:paraId="5B56E5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新建卫生服务站改造成本</w:t>
            </w:r>
          </w:p>
        </w:tc>
        <w:tc>
          <w:tcPr>
            <w:tcW w:w="1360" w:type="dxa"/>
            <w:tcBorders>
              <w:top w:val="single" w:color="auto" w:sz="4" w:space="0"/>
              <w:left w:val="single" w:color="auto" w:sz="4" w:space="0"/>
              <w:bottom w:val="single" w:color="auto" w:sz="4" w:space="0"/>
              <w:right w:val="single" w:color="auto" w:sz="4" w:space="0"/>
            </w:tcBorders>
            <w:shd w:val="clear" w:color="auto" w:fill="auto"/>
            <w:vAlign w:val="center"/>
          </w:tcPr>
          <w:p w14:paraId="47F99F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6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6D839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1000000</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7D0137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w:t>
            </w:r>
          </w:p>
        </w:tc>
        <w:tc>
          <w:tcPr>
            <w:tcW w:w="2362" w:type="dxa"/>
            <w:tcBorders>
              <w:top w:val="single" w:color="auto" w:sz="4" w:space="0"/>
              <w:left w:val="single" w:color="auto" w:sz="4" w:space="0"/>
              <w:bottom w:val="single" w:color="auto" w:sz="4" w:space="0"/>
              <w:right w:val="single" w:color="auto" w:sz="4" w:space="0"/>
            </w:tcBorders>
            <w:shd w:val="clear" w:color="auto" w:fill="auto"/>
            <w:vAlign w:val="center"/>
          </w:tcPr>
          <w:p w14:paraId="64F63D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反映新建卫生服务站改造成本控制情况</w:t>
            </w:r>
          </w:p>
        </w:tc>
        <w:tc>
          <w:tcPr>
            <w:tcW w:w="3383" w:type="dxa"/>
            <w:tcBorders>
              <w:top w:val="single" w:color="auto" w:sz="4" w:space="0"/>
              <w:left w:val="single" w:color="auto" w:sz="4" w:space="0"/>
              <w:bottom w:val="single" w:color="auto" w:sz="4" w:space="0"/>
              <w:right w:val="single" w:color="auto" w:sz="4" w:space="0"/>
            </w:tcBorders>
            <w:shd w:val="clear" w:color="auto" w:fill="auto"/>
            <w:vAlign w:val="center"/>
          </w:tcPr>
          <w:p w14:paraId="20BB514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评分标准：新建卫生服务站改造成本≤1000000元，得满分，否则不得分。</w:t>
            </w:r>
          </w:p>
        </w:tc>
      </w:tr>
      <w:tr w14:paraId="47C59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2" w:hRule="atLeast"/>
          <w:jc w:val="center"/>
        </w:trPr>
        <w:tc>
          <w:tcPr>
            <w:tcW w:w="142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9BF95C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效益指标</w:t>
            </w:r>
          </w:p>
        </w:tc>
        <w:tc>
          <w:tcPr>
            <w:tcW w:w="179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C3C91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1731" w:type="dxa"/>
            <w:tcBorders>
              <w:top w:val="single" w:color="auto" w:sz="4" w:space="0"/>
              <w:left w:val="single" w:color="auto" w:sz="4" w:space="0"/>
              <w:bottom w:val="single" w:color="auto" w:sz="4" w:space="0"/>
              <w:right w:val="single" w:color="auto" w:sz="4" w:space="0"/>
            </w:tcBorders>
            <w:shd w:val="clear" w:color="auto" w:fill="auto"/>
            <w:vAlign w:val="center"/>
          </w:tcPr>
          <w:p w14:paraId="0060B3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改善基层医疗卫生设施条件</w:t>
            </w:r>
          </w:p>
        </w:tc>
        <w:tc>
          <w:tcPr>
            <w:tcW w:w="1360" w:type="dxa"/>
            <w:tcBorders>
              <w:top w:val="single" w:color="auto" w:sz="4" w:space="0"/>
              <w:left w:val="single" w:color="auto" w:sz="4" w:space="0"/>
              <w:bottom w:val="single" w:color="auto" w:sz="4" w:space="0"/>
              <w:right w:val="single" w:color="auto" w:sz="4" w:space="0"/>
            </w:tcBorders>
            <w:shd w:val="clear" w:color="auto" w:fill="auto"/>
            <w:vAlign w:val="center"/>
          </w:tcPr>
          <w:p w14:paraId="4FC9C3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定性</w:t>
            </w:r>
          </w:p>
        </w:tc>
        <w:tc>
          <w:tcPr>
            <w:tcW w:w="16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09860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改善</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0AA2093D">
            <w:pPr>
              <w:jc w:val="center"/>
              <w:rPr>
                <w:rFonts w:hint="eastAsia" w:ascii="宋体" w:hAnsi="宋体" w:eastAsia="宋体" w:cs="宋体"/>
                <w:i w:val="0"/>
                <w:iCs w:val="0"/>
                <w:color w:val="000000"/>
                <w:sz w:val="20"/>
                <w:szCs w:val="20"/>
                <w:u w:val="none"/>
              </w:rPr>
            </w:pPr>
          </w:p>
        </w:tc>
        <w:tc>
          <w:tcPr>
            <w:tcW w:w="2362" w:type="dxa"/>
            <w:tcBorders>
              <w:top w:val="single" w:color="auto" w:sz="4" w:space="0"/>
              <w:left w:val="single" w:color="auto" w:sz="4" w:space="0"/>
              <w:bottom w:val="single" w:color="auto" w:sz="4" w:space="0"/>
              <w:right w:val="single" w:color="auto" w:sz="4" w:space="0"/>
            </w:tcBorders>
            <w:shd w:val="clear" w:color="auto" w:fill="auto"/>
            <w:vAlign w:val="center"/>
          </w:tcPr>
          <w:p w14:paraId="3BA6CAD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反映本项目实施后，改善基层医疗卫生设施条件情况</w:t>
            </w:r>
          </w:p>
        </w:tc>
        <w:tc>
          <w:tcPr>
            <w:tcW w:w="3383" w:type="dxa"/>
            <w:tcBorders>
              <w:top w:val="single" w:color="auto" w:sz="4" w:space="0"/>
              <w:left w:val="single" w:color="auto" w:sz="4" w:space="0"/>
              <w:bottom w:val="single" w:color="auto" w:sz="4" w:space="0"/>
              <w:right w:val="single" w:color="auto" w:sz="4" w:space="0"/>
            </w:tcBorders>
            <w:shd w:val="clear" w:color="auto" w:fill="auto"/>
            <w:vAlign w:val="center"/>
          </w:tcPr>
          <w:p w14:paraId="78E4D8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评分标准：设施设备较上年度有增加，得满分，否则不得分。</w:t>
            </w:r>
          </w:p>
        </w:tc>
      </w:tr>
      <w:tr w14:paraId="64FEA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1" w:hRule="atLeast"/>
          <w:jc w:val="center"/>
        </w:trPr>
        <w:tc>
          <w:tcPr>
            <w:tcW w:w="14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867C8D">
            <w:pPr>
              <w:jc w:val="center"/>
              <w:rPr>
                <w:rFonts w:hint="eastAsia" w:ascii="宋体" w:hAnsi="宋体" w:eastAsia="宋体" w:cs="宋体"/>
                <w:b/>
                <w:bCs/>
                <w:i w:val="0"/>
                <w:iCs w:val="0"/>
                <w:color w:val="000000"/>
                <w:sz w:val="20"/>
                <w:szCs w:val="20"/>
                <w:u w:val="none"/>
              </w:rPr>
            </w:pPr>
          </w:p>
        </w:tc>
        <w:tc>
          <w:tcPr>
            <w:tcW w:w="17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BF6CAA">
            <w:pPr>
              <w:jc w:val="center"/>
              <w:rPr>
                <w:rFonts w:hint="eastAsia" w:ascii="宋体" w:hAnsi="宋体" w:eastAsia="宋体" w:cs="宋体"/>
                <w:i w:val="0"/>
                <w:iCs w:val="0"/>
                <w:color w:val="000000"/>
                <w:sz w:val="20"/>
                <w:szCs w:val="20"/>
                <w:u w:val="none"/>
              </w:rPr>
            </w:pPr>
          </w:p>
        </w:tc>
        <w:tc>
          <w:tcPr>
            <w:tcW w:w="1731" w:type="dxa"/>
            <w:tcBorders>
              <w:top w:val="single" w:color="auto" w:sz="4" w:space="0"/>
              <w:left w:val="single" w:color="auto" w:sz="4" w:space="0"/>
              <w:bottom w:val="single" w:color="auto" w:sz="4" w:space="0"/>
              <w:right w:val="single" w:color="auto" w:sz="4" w:space="0"/>
            </w:tcBorders>
            <w:shd w:val="clear" w:color="auto" w:fill="auto"/>
            <w:vAlign w:val="center"/>
          </w:tcPr>
          <w:p w14:paraId="4B2492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提升基层医疗水平</w:t>
            </w:r>
          </w:p>
        </w:tc>
        <w:tc>
          <w:tcPr>
            <w:tcW w:w="1360" w:type="dxa"/>
            <w:tcBorders>
              <w:top w:val="single" w:color="auto" w:sz="4" w:space="0"/>
              <w:left w:val="single" w:color="auto" w:sz="4" w:space="0"/>
              <w:bottom w:val="single" w:color="auto" w:sz="4" w:space="0"/>
              <w:right w:val="single" w:color="auto" w:sz="4" w:space="0"/>
            </w:tcBorders>
            <w:shd w:val="clear" w:color="auto" w:fill="auto"/>
            <w:vAlign w:val="center"/>
          </w:tcPr>
          <w:p w14:paraId="138310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定性</w:t>
            </w:r>
          </w:p>
        </w:tc>
        <w:tc>
          <w:tcPr>
            <w:tcW w:w="16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EEF96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提升</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6A0BA00B">
            <w:pPr>
              <w:jc w:val="center"/>
              <w:rPr>
                <w:rFonts w:hint="eastAsia" w:ascii="宋体" w:hAnsi="宋体" w:eastAsia="宋体" w:cs="宋体"/>
                <w:i w:val="0"/>
                <w:iCs w:val="0"/>
                <w:color w:val="000000"/>
                <w:sz w:val="20"/>
                <w:szCs w:val="20"/>
                <w:u w:val="none"/>
              </w:rPr>
            </w:pPr>
          </w:p>
        </w:tc>
        <w:tc>
          <w:tcPr>
            <w:tcW w:w="2362" w:type="dxa"/>
            <w:tcBorders>
              <w:top w:val="single" w:color="auto" w:sz="4" w:space="0"/>
              <w:left w:val="single" w:color="auto" w:sz="4" w:space="0"/>
              <w:bottom w:val="single" w:color="auto" w:sz="4" w:space="0"/>
              <w:right w:val="single" w:color="auto" w:sz="4" w:space="0"/>
            </w:tcBorders>
            <w:shd w:val="clear" w:color="auto" w:fill="auto"/>
            <w:vAlign w:val="center"/>
          </w:tcPr>
          <w:p w14:paraId="323A06D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反映本项目实施后，提升基层医疗水平情况</w:t>
            </w:r>
          </w:p>
        </w:tc>
        <w:tc>
          <w:tcPr>
            <w:tcW w:w="3383" w:type="dxa"/>
            <w:tcBorders>
              <w:top w:val="single" w:color="auto" w:sz="4" w:space="0"/>
              <w:left w:val="single" w:color="auto" w:sz="4" w:space="0"/>
              <w:bottom w:val="single" w:color="auto" w:sz="4" w:space="0"/>
              <w:right w:val="single" w:color="auto" w:sz="4" w:space="0"/>
            </w:tcBorders>
            <w:shd w:val="clear" w:color="auto" w:fill="auto"/>
            <w:vAlign w:val="center"/>
          </w:tcPr>
          <w:p w14:paraId="670FC7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评分标准：服务人次数较上一年度增加，得满分，否则不得分。</w:t>
            </w:r>
          </w:p>
        </w:tc>
      </w:tr>
      <w:tr w14:paraId="4BC8B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jc w:val="center"/>
        </w:trPr>
        <w:tc>
          <w:tcPr>
            <w:tcW w:w="14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DB12698">
            <w:pPr>
              <w:jc w:val="center"/>
              <w:rPr>
                <w:rFonts w:hint="eastAsia" w:ascii="宋体" w:hAnsi="宋体" w:eastAsia="宋体" w:cs="宋体"/>
                <w:b/>
                <w:bCs/>
                <w:i w:val="0"/>
                <w:iCs w:val="0"/>
                <w:color w:val="000000"/>
                <w:sz w:val="20"/>
                <w:szCs w:val="20"/>
                <w:u w:val="none"/>
              </w:rPr>
            </w:pPr>
          </w:p>
        </w:tc>
        <w:tc>
          <w:tcPr>
            <w:tcW w:w="1795" w:type="dxa"/>
            <w:tcBorders>
              <w:top w:val="single" w:color="auto" w:sz="4" w:space="0"/>
              <w:left w:val="single" w:color="auto" w:sz="4" w:space="0"/>
              <w:bottom w:val="single" w:color="auto" w:sz="4" w:space="0"/>
              <w:right w:val="single" w:color="auto" w:sz="4" w:space="0"/>
            </w:tcBorders>
            <w:shd w:val="clear" w:color="auto" w:fill="auto"/>
            <w:vAlign w:val="center"/>
          </w:tcPr>
          <w:p w14:paraId="271812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1731" w:type="dxa"/>
            <w:tcBorders>
              <w:top w:val="single" w:color="auto" w:sz="4" w:space="0"/>
              <w:left w:val="single" w:color="auto" w:sz="4" w:space="0"/>
              <w:bottom w:val="single" w:color="auto" w:sz="4" w:space="0"/>
              <w:right w:val="single" w:color="auto" w:sz="4" w:space="0"/>
            </w:tcBorders>
            <w:shd w:val="clear" w:color="auto" w:fill="auto"/>
            <w:vAlign w:val="center"/>
          </w:tcPr>
          <w:p w14:paraId="504F70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新建卫生服务站运行年限</w:t>
            </w:r>
          </w:p>
        </w:tc>
        <w:tc>
          <w:tcPr>
            <w:tcW w:w="1360" w:type="dxa"/>
            <w:tcBorders>
              <w:top w:val="single" w:color="auto" w:sz="4" w:space="0"/>
              <w:left w:val="single" w:color="auto" w:sz="4" w:space="0"/>
              <w:bottom w:val="single" w:color="auto" w:sz="4" w:space="0"/>
              <w:right w:val="single" w:color="auto" w:sz="4" w:space="0"/>
            </w:tcBorders>
            <w:shd w:val="clear" w:color="auto" w:fill="auto"/>
            <w:vAlign w:val="center"/>
          </w:tcPr>
          <w:p w14:paraId="167353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6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16695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7EEE5C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w:t>
            </w:r>
          </w:p>
        </w:tc>
        <w:tc>
          <w:tcPr>
            <w:tcW w:w="2362" w:type="dxa"/>
            <w:tcBorders>
              <w:top w:val="single" w:color="auto" w:sz="4" w:space="0"/>
              <w:left w:val="single" w:color="auto" w:sz="4" w:space="0"/>
              <w:bottom w:val="single" w:color="auto" w:sz="4" w:space="0"/>
              <w:right w:val="single" w:color="auto" w:sz="4" w:space="0"/>
            </w:tcBorders>
            <w:shd w:val="clear" w:color="auto" w:fill="auto"/>
            <w:vAlign w:val="center"/>
          </w:tcPr>
          <w:p w14:paraId="745966A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反映本项目实施后，服务站运行年限情况</w:t>
            </w:r>
          </w:p>
        </w:tc>
        <w:tc>
          <w:tcPr>
            <w:tcW w:w="3383" w:type="dxa"/>
            <w:tcBorders>
              <w:top w:val="single" w:color="auto" w:sz="4" w:space="0"/>
              <w:left w:val="single" w:color="auto" w:sz="4" w:space="0"/>
              <w:bottom w:val="single" w:color="auto" w:sz="4" w:space="0"/>
              <w:right w:val="single" w:color="auto" w:sz="4" w:space="0"/>
            </w:tcBorders>
            <w:shd w:val="clear" w:color="auto" w:fill="auto"/>
            <w:vAlign w:val="center"/>
          </w:tcPr>
          <w:p w14:paraId="272D84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评分标准：服务站运行年限≥30年，得满分，否则不得分。</w:t>
            </w:r>
          </w:p>
        </w:tc>
      </w:tr>
      <w:tr w14:paraId="42A6C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5" w:hRule="atLeast"/>
          <w:jc w:val="center"/>
        </w:trPr>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5E1FB61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满意度指标</w:t>
            </w:r>
          </w:p>
        </w:tc>
        <w:tc>
          <w:tcPr>
            <w:tcW w:w="1795" w:type="dxa"/>
            <w:tcBorders>
              <w:top w:val="single" w:color="auto" w:sz="4" w:space="0"/>
              <w:left w:val="single" w:color="auto" w:sz="4" w:space="0"/>
              <w:bottom w:val="single" w:color="auto" w:sz="4" w:space="0"/>
              <w:right w:val="single" w:color="auto" w:sz="4" w:space="0"/>
            </w:tcBorders>
            <w:shd w:val="clear" w:color="auto" w:fill="auto"/>
            <w:vAlign w:val="center"/>
          </w:tcPr>
          <w:p w14:paraId="50942F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1731" w:type="dxa"/>
            <w:tcBorders>
              <w:top w:val="single" w:color="auto" w:sz="4" w:space="0"/>
              <w:left w:val="single" w:color="auto" w:sz="4" w:space="0"/>
              <w:bottom w:val="single" w:color="auto" w:sz="4" w:space="0"/>
              <w:right w:val="single" w:color="auto" w:sz="4" w:space="0"/>
            </w:tcBorders>
            <w:shd w:val="clear" w:color="auto" w:fill="auto"/>
            <w:vAlign w:val="center"/>
          </w:tcPr>
          <w:p w14:paraId="0B03B6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群众满意度</w:t>
            </w:r>
          </w:p>
        </w:tc>
        <w:tc>
          <w:tcPr>
            <w:tcW w:w="1360" w:type="dxa"/>
            <w:tcBorders>
              <w:top w:val="single" w:color="auto" w:sz="4" w:space="0"/>
              <w:left w:val="single" w:color="auto" w:sz="4" w:space="0"/>
              <w:bottom w:val="single" w:color="auto" w:sz="4" w:space="0"/>
              <w:right w:val="single" w:color="auto" w:sz="4" w:space="0"/>
            </w:tcBorders>
            <w:shd w:val="clear" w:color="auto" w:fill="auto"/>
            <w:vAlign w:val="center"/>
          </w:tcPr>
          <w:p w14:paraId="277043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6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75B3F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724708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362" w:type="dxa"/>
            <w:tcBorders>
              <w:top w:val="single" w:color="auto" w:sz="4" w:space="0"/>
              <w:left w:val="single" w:color="auto" w:sz="4" w:space="0"/>
              <w:bottom w:val="single" w:color="auto" w:sz="4" w:space="0"/>
              <w:right w:val="single" w:color="auto" w:sz="4" w:space="0"/>
            </w:tcBorders>
            <w:shd w:val="clear" w:color="auto" w:fill="auto"/>
            <w:vAlign w:val="center"/>
          </w:tcPr>
          <w:p w14:paraId="0AB644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反映本项目实施后，群众满意情况</w:t>
            </w:r>
          </w:p>
        </w:tc>
        <w:tc>
          <w:tcPr>
            <w:tcW w:w="3383" w:type="dxa"/>
            <w:tcBorders>
              <w:top w:val="single" w:color="auto" w:sz="4" w:space="0"/>
              <w:left w:val="single" w:color="auto" w:sz="4" w:space="0"/>
              <w:bottom w:val="single" w:color="auto" w:sz="4" w:space="0"/>
              <w:right w:val="single" w:color="auto" w:sz="4" w:space="0"/>
            </w:tcBorders>
            <w:shd w:val="clear" w:color="auto" w:fill="auto"/>
            <w:vAlign w:val="center"/>
          </w:tcPr>
          <w:p w14:paraId="1CE1FB7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评分标准：群众满意度≥90%，得满分，低于60%不得分。其他满意度得分=满意度*分值</w:t>
            </w:r>
          </w:p>
        </w:tc>
      </w:tr>
    </w:tbl>
    <w:p w14:paraId="23BC2DA8">
      <w:pPr>
        <w:rPr>
          <w:rFonts w:hint="eastAsia"/>
        </w:rPr>
      </w:pPr>
      <w:r>
        <w:rPr>
          <w:rFonts w:hint="eastAsia"/>
        </w:rPr>
        <w:br w:type="page"/>
      </w:r>
    </w:p>
    <w:p w14:paraId="265ACA40">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微软雅黑" w:hAnsi="微软雅黑" w:eastAsia="微软雅黑" w:cs="微软雅黑"/>
          <w:bCs/>
          <w:sz w:val="44"/>
          <w:szCs w:val="44"/>
          <w:lang w:val="en-US" w:eastAsia="zh-CN"/>
        </w:rPr>
      </w:pPr>
      <w:r>
        <w:rPr>
          <w:rFonts w:hint="eastAsia" w:ascii="微软雅黑" w:hAnsi="微软雅黑" w:eastAsia="微软雅黑" w:cs="微软雅黑"/>
          <w:bCs/>
          <w:sz w:val="44"/>
          <w:szCs w:val="44"/>
          <w:lang w:val="en-US" w:eastAsia="zh-CN"/>
        </w:rPr>
        <w:t>项目</w:t>
      </w:r>
      <w:r>
        <w:rPr>
          <w:rFonts w:hint="default" w:ascii="微软雅黑" w:hAnsi="微软雅黑" w:eastAsia="微软雅黑" w:cs="微软雅黑"/>
          <w:bCs/>
          <w:sz w:val="44"/>
          <w:szCs w:val="44"/>
          <w:lang w:val="en-US" w:eastAsia="zh-CN"/>
        </w:rPr>
        <w:t>2</w:t>
      </w:r>
      <w:r>
        <w:rPr>
          <w:rFonts w:hint="eastAsia" w:ascii="微软雅黑" w:hAnsi="微软雅黑" w:eastAsia="微软雅黑" w:cs="微软雅黑"/>
          <w:bCs/>
          <w:sz w:val="44"/>
          <w:szCs w:val="44"/>
          <w:lang w:val="en-US" w:eastAsia="zh-CN"/>
        </w:rPr>
        <w:t>：农村学前教育儿童营养改善计划项目</w:t>
      </w:r>
    </w:p>
    <w:p w14:paraId="4A023472">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楷体_GB2312" w:eastAsia="楷体_GB2312" w:cs="楷体_GB2312"/>
          <w:sz w:val="32"/>
          <w:szCs w:val="32"/>
        </w:rPr>
      </w:pPr>
      <w:r>
        <w:rPr>
          <w:rFonts w:hint="eastAsia" w:ascii="楷体_GB2312" w:hAnsi="楷体_GB2312" w:eastAsia="楷体_GB2312" w:cs="楷体_GB2312"/>
          <w:sz w:val="32"/>
          <w:szCs w:val="32"/>
          <w:lang w:val="en-US" w:eastAsia="zh-CN"/>
        </w:rPr>
        <w:t>（贵州贵安新区管理委员会社会事业管理局</w:t>
      </w:r>
      <w:r>
        <w:rPr>
          <w:rFonts w:hint="eastAsia" w:ascii="楷体_GB2312" w:hAnsi="楷体_GB2312" w:eastAsia="楷体_GB2312" w:cs="楷体_GB2312"/>
          <w:sz w:val="32"/>
          <w:szCs w:val="32"/>
        </w:rPr>
        <w:t>）</w:t>
      </w:r>
    </w:p>
    <w:p w14:paraId="004AF2B8">
      <w:pPr>
        <w:keepNext w:val="0"/>
        <w:keepLines w:val="0"/>
        <w:pageBreakBefore w:val="0"/>
        <w:widowControl w:val="0"/>
        <w:kinsoku/>
        <w:wordWrap/>
        <w:overflowPunct/>
        <w:topLinePunct w:val="0"/>
        <w:autoSpaceDE/>
        <w:autoSpaceDN/>
        <w:bidi w:val="0"/>
        <w:adjustRightInd/>
        <w:spacing w:line="560" w:lineRule="exact"/>
        <w:ind w:firstLine="644" w:firstLineChars="200"/>
        <w:textAlignment w:val="auto"/>
        <w:rPr>
          <w:rFonts w:hint="eastAsia" w:ascii="方正仿宋_GBK" w:eastAsia="方正仿宋_GBK" w:cs="方正仿宋_GBK"/>
          <w:sz w:val="32"/>
          <w:szCs w:val="32"/>
        </w:rPr>
      </w:pPr>
    </w:p>
    <w:p w14:paraId="30873D72">
      <w:pPr>
        <w:keepNext w:val="0"/>
        <w:keepLines w:val="0"/>
        <w:pageBreakBefore w:val="0"/>
        <w:widowControl w:val="0"/>
        <w:kinsoku/>
        <w:wordWrap/>
        <w:overflowPunct/>
        <w:topLinePunct w:val="0"/>
        <w:autoSpaceDE/>
        <w:autoSpaceDN/>
        <w:bidi w:val="0"/>
        <w:adjustRightInd/>
        <w:spacing w:line="560" w:lineRule="exact"/>
        <w:ind w:left="0" w:firstLine="644" w:firstLineChars="200"/>
        <w:textAlignment w:val="auto"/>
        <w:rPr>
          <w:rFonts w:hint="eastAsia" w:ascii="黑体" w:eastAsia="黑体" w:cs="黑体"/>
          <w:sz w:val="32"/>
          <w:szCs w:val="32"/>
        </w:rPr>
      </w:pPr>
      <w:r>
        <w:rPr>
          <w:rFonts w:hint="eastAsia" w:ascii="黑体" w:eastAsia="黑体" w:cs="黑体"/>
          <w:sz w:val="32"/>
          <w:szCs w:val="32"/>
          <w:lang w:eastAsia="zh-CN"/>
        </w:rPr>
        <w:t>一、项目</w:t>
      </w:r>
      <w:r>
        <w:rPr>
          <w:rFonts w:hint="eastAsia" w:ascii="黑体" w:eastAsia="黑体" w:cs="黑体"/>
          <w:sz w:val="32"/>
          <w:szCs w:val="32"/>
        </w:rPr>
        <w:t>概述</w:t>
      </w:r>
    </w:p>
    <w:p w14:paraId="1D614351">
      <w:pPr>
        <w:pStyle w:val="8"/>
        <w:keepNext w:val="0"/>
        <w:keepLines w:val="0"/>
        <w:pageBreakBefore w:val="0"/>
        <w:widowControl w:val="0"/>
        <w:kinsoku/>
        <w:wordWrap/>
        <w:overflowPunct/>
        <w:topLinePunct w:val="0"/>
        <w:autoSpaceDE/>
        <w:autoSpaceDN/>
        <w:bidi w:val="0"/>
        <w:adjustRightInd/>
        <w:spacing w:line="560" w:lineRule="exact"/>
        <w:ind w:firstLine="644"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为认真贯彻落实《省人民政府办公厅关于实施农村学前教育儿童营养改善计划的意见》（黔府办发〔2016〕37号）和《市人民政府办公厅关于印发贵阳市全面开展“校农结合”工作助推农村产业革命和脱贫攻坚实施方案的通知》（筑府办函〔2019〕97号）文件精神，按照《贵州贵安新区管理委员会社会事业管理局关于印发</w:t>
      </w:r>
      <w:r>
        <w:rPr>
          <w:rFonts w:hint="eastAsia" w:ascii="仿宋" w:hAnsi="仿宋" w:eastAsia="仿宋" w:cs="仿宋"/>
          <w:sz w:val="32"/>
          <w:szCs w:val="32"/>
          <w:lang w:val="en-US" w:eastAsia="zh-CN"/>
        </w:rPr>
        <w:t>〈</w:t>
      </w:r>
      <w:r>
        <w:rPr>
          <w:rFonts w:hint="eastAsia" w:ascii="Times New Roman" w:hAnsi="Times New Roman" w:eastAsia="仿宋_GB2312" w:cs="Times New Roman"/>
          <w:sz w:val="32"/>
          <w:szCs w:val="32"/>
          <w:lang w:val="en-US" w:eastAsia="zh-CN"/>
        </w:rPr>
        <w:t>贵安新区直管区学前教育儿童营养餐改善补助计划的实施方案（试行）</w:t>
      </w:r>
      <w:r>
        <w:rPr>
          <w:rFonts w:hint="eastAsia" w:ascii="仿宋" w:hAnsi="仿宋" w:eastAsia="仿宋" w:cs="仿宋"/>
          <w:sz w:val="32"/>
          <w:szCs w:val="32"/>
          <w:lang w:val="en-US" w:eastAsia="zh-CN"/>
        </w:rPr>
        <w:t>〉</w:t>
      </w:r>
      <w:r>
        <w:rPr>
          <w:rFonts w:hint="eastAsia" w:ascii="Times New Roman" w:hAnsi="Times New Roman" w:eastAsia="仿宋_GB2312" w:cs="Times New Roman"/>
          <w:sz w:val="32"/>
          <w:szCs w:val="32"/>
          <w:lang w:val="en-US" w:eastAsia="zh-CN"/>
        </w:rPr>
        <w:t>的通知》（黔贵安管社发〔2018〕29号）要求，全面启动贵安新区农村学前教育儿童营养改善计划工作。该计划本级预算资金570.2万元纳入2025年新区本级财政预算安排。</w:t>
      </w:r>
    </w:p>
    <w:p w14:paraId="08CE38D7">
      <w:pPr>
        <w:keepNext w:val="0"/>
        <w:keepLines w:val="0"/>
        <w:pageBreakBefore w:val="0"/>
        <w:widowControl w:val="0"/>
        <w:kinsoku/>
        <w:wordWrap/>
        <w:overflowPunct/>
        <w:topLinePunct w:val="0"/>
        <w:autoSpaceDE/>
        <w:autoSpaceDN/>
        <w:bidi w:val="0"/>
        <w:adjustRightInd/>
        <w:spacing w:line="560" w:lineRule="exact"/>
        <w:ind w:left="0" w:firstLine="644" w:firstLineChars="200"/>
        <w:textAlignment w:val="auto"/>
        <w:rPr>
          <w:rFonts w:hint="eastAsia" w:ascii="黑体" w:eastAsia="黑体" w:cs="黑体"/>
          <w:sz w:val="32"/>
          <w:szCs w:val="32"/>
        </w:rPr>
      </w:pPr>
      <w:r>
        <w:rPr>
          <w:rFonts w:hint="eastAsia" w:ascii="黑体" w:eastAsia="黑体" w:cs="黑体"/>
          <w:sz w:val="32"/>
          <w:szCs w:val="32"/>
          <w:lang w:eastAsia="zh-CN"/>
        </w:rPr>
        <w:t>二、立项</w:t>
      </w:r>
      <w:r>
        <w:rPr>
          <w:rFonts w:hint="eastAsia" w:ascii="黑体" w:eastAsia="黑体" w:cs="黑体"/>
          <w:sz w:val="32"/>
          <w:szCs w:val="32"/>
        </w:rPr>
        <w:t>依据</w:t>
      </w:r>
    </w:p>
    <w:p w14:paraId="6E9B10B5">
      <w:pPr>
        <w:pStyle w:val="8"/>
        <w:keepNext w:val="0"/>
        <w:keepLines w:val="0"/>
        <w:pageBreakBefore w:val="0"/>
        <w:widowControl w:val="0"/>
        <w:kinsoku/>
        <w:wordWrap/>
        <w:overflowPunct/>
        <w:topLinePunct w:val="0"/>
        <w:autoSpaceDE/>
        <w:autoSpaceDN/>
        <w:bidi w:val="0"/>
        <w:adjustRightInd/>
        <w:spacing w:line="560" w:lineRule="exact"/>
        <w:ind w:firstLine="644"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根据《省人民政府办公厅关于实施农村学前教育儿童营养改善计划的意见》（黔府办发〔2016〕37号）、《市人民政府办公厅关于印发贵阳市全面开展“校农结合”工作助推农村产业革命和脱贫攻坚实施方案的通知》（筑府办函〔2019〕97号）和《贵州贵安新区管理委员会社会事业管理局关于印发</w:t>
      </w:r>
      <w:r>
        <w:rPr>
          <w:rFonts w:hint="eastAsia" w:ascii="仿宋" w:hAnsi="仿宋" w:eastAsia="仿宋" w:cs="仿宋"/>
          <w:sz w:val="32"/>
          <w:szCs w:val="32"/>
          <w:lang w:val="en-US" w:eastAsia="zh-CN"/>
        </w:rPr>
        <w:t>〈</w:t>
      </w:r>
      <w:r>
        <w:rPr>
          <w:rFonts w:hint="eastAsia" w:ascii="Times New Roman" w:hAnsi="Times New Roman" w:eastAsia="仿宋_GB2312" w:cs="Times New Roman"/>
          <w:sz w:val="32"/>
          <w:szCs w:val="32"/>
          <w:lang w:val="en-US" w:eastAsia="zh-CN"/>
        </w:rPr>
        <w:t>贵安新区直管区学前教育儿童营养餐改善补助计划的实施方案（试行）</w:t>
      </w:r>
      <w:r>
        <w:rPr>
          <w:rFonts w:hint="eastAsia" w:ascii="仿宋" w:hAnsi="仿宋" w:eastAsia="仿宋" w:cs="仿宋"/>
          <w:sz w:val="32"/>
          <w:szCs w:val="32"/>
          <w:lang w:val="en-US" w:eastAsia="zh-CN"/>
        </w:rPr>
        <w:t>〉</w:t>
      </w:r>
      <w:r>
        <w:rPr>
          <w:rFonts w:hint="eastAsia" w:ascii="Times New Roman" w:hAnsi="Times New Roman" w:eastAsia="仿宋_GB2312" w:cs="Times New Roman"/>
          <w:sz w:val="32"/>
          <w:szCs w:val="32"/>
          <w:lang w:val="en-US" w:eastAsia="zh-CN"/>
        </w:rPr>
        <w:t>的通知》（黔贵安管社发〔2018〕29号）文件要求，落实贵安新区农村学前教育儿童营养改善计划行动实施方案，全面开展贵安新区农村学前教育儿童营养改善计划工作。</w:t>
      </w:r>
    </w:p>
    <w:p w14:paraId="6E2FD083">
      <w:pPr>
        <w:keepNext w:val="0"/>
        <w:keepLines w:val="0"/>
        <w:pageBreakBefore w:val="0"/>
        <w:widowControl w:val="0"/>
        <w:kinsoku/>
        <w:wordWrap/>
        <w:overflowPunct/>
        <w:topLinePunct w:val="0"/>
        <w:autoSpaceDE/>
        <w:autoSpaceDN/>
        <w:bidi w:val="0"/>
        <w:adjustRightInd/>
        <w:spacing w:line="560" w:lineRule="exact"/>
        <w:ind w:left="0" w:firstLine="644" w:firstLineChars="200"/>
        <w:textAlignment w:val="auto"/>
        <w:rPr>
          <w:rFonts w:hint="eastAsia" w:ascii="黑体" w:eastAsia="黑体" w:cs="黑体"/>
          <w:sz w:val="32"/>
          <w:szCs w:val="32"/>
        </w:rPr>
      </w:pPr>
      <w:r>
        <w:rPr>
          <w:rFonts w:hint="eastAsia" w:ascii="黑体" w:eastAsia="黑体" w:cs="黑体"/>
          <w:sz w:val="32"/>
          <w:szCs w:val="32"/>
          <w:lang w:eastAsia="zh-CN"/>
        </w:rPr>
        <w:t>三、</w:t>
      </w:r>
      <w:r>
        <w:rPr>
          <w:rFonts w:hint="eastAsia" w:ascii="黑体" w:eastAsia="黑体" w:cs="黑体"/>
          <w:sz w:val="32"/>
          <w:szCs w:val="32"/>
        </w:rPr>
        <w:t>实施主体</w:t>
      </w:r>
    </w:p>
    <w:p w14:paraId="01D42039">
      <w:pPr>
        <w:pStyle w:val="8"/>
        <w:keepNext w:val="0"/>
        <w:keepLines w:val="0"/>
        <w:pageBreakBefore w:val="0"/>
        <w:widowControl w:val="0"/>
        <w:kinsoku/>
        <w:wordWrap/>
        <w:overflowPunct/>
        <w:topLinePunct w:val="0"/>
        <w:autoSpaceDE/>
        <w:autoSpaceDN/>
        <w:bidi w:val="0"/>
        <w:adjustRightInd/>
        <w:spacing w:line="560" w:lineRule="exact"/>
        <w:ind w:firstLine="644"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贵州贵安新区管理委员会社会事业管理局及直管区农村公办幼儿园及农村普惠性幼儿园。</w:t>
      </w:r>
    </w:p>
    <w:p w14:paraId="4961E37E">
      <w:pPr>
        <w:keepNext w:val="0"/>
        <w:keepLines w:val="0"/>
        <w:pageBreakBefore w:val="0"/>
        <w:widowControl w:val="0"/>
        <w:kinsoku/>
        <w:wordWrap/>
        <w:overflowPunct/>
        <w:topLinePunct w:val="0"/>
        <w:autoSpaceDE/>
        <w:autoSpaceDN/>
        <w:bidi w:val="0"/>
        <w:adjustRightInd/>
        <w:spacing w:line="560" w:lineRule="exact"/>
        <w:ind w:left="0" w:firstLine="644" w:firstLineChars="200"/>
        <w:textAlignment w:val="auto"/>
        <w:rPr>
          <w:rFonts w:hint="eastAsia" w:ascii="黑体" w:eastAsia="黑体" w:cs="黑体"/>
          <w:sz w:val="32"/>
          <w:szCs w:val="32"/>
        </w:rPr>
      </w:pPr>
      <w:r>
        <w:rPr>
          <w:rFonts w:hint="eastAsia" w:ascii="黑体" w:eastAsia="黑体" w:cs="黑体"/>
          <w:sz w:val="32"/>
          <w:szCs w:val="32"/>
          <w:lang w:eastAsia="zh-CN"/>
        </w:rPr>
        <w:t>四、</w:t>
      </w:r>
      <w:r>
        <w:rPr>
          <w:rFonts w:hint="eastAsia" w:ascii="黑体" w:eastAsia="黑体" w:cs="黑体"/>
          <w:sz w:val="32"/>
          <w:szCs w:val="32"/>
        </w:rPr>
        <w:t>实施方案</w:t>
      </w:r>
    </w:p>
    <w:p w14:paraId="7E19EC9B">
      <w:pPr>
        <w:keepNext w:val="0"/>
        <w:keepLines w:val="0"/>
        <w:pageBreakBefore w:val="0"/>
        <w:widowControl w:val="0"/>
        <w:kinsoku/>
        <w:wordWrap/>
        <w:overflowPunct/>
        <w:topLinePunct w:val="0"/>
        <w:autoSpaceDE/>
        <w:autoSpaceDN/>
        <w:bidi w:val="0"/>
        <w:adjustRightInd/>
        <w:spacing w:line="560" w:lineRule="exact"/>
        <w:ind w:left="0" w:firstLine="644" w:firstLineChars="200"/>
        <w:textAlignment w:val="auto"/>
        <w:rPr>
          <w:rFonts w:hint="eastAsia" w:ascii="楷体_GB2312" w:eastAsia="楷体_GB2312" w:cs="楷体_GB2312"/>
          <w:sz w:val="32"/>
          <w:szCs w:val="32"/>
          <w:lang w:eastAsia="zh-CN"/>
        </w:rPr>
      </w:pPr>
      <w:r>
        <w:rPr>
          <w:rFonts w:hint="eastAsia" w:ascii="楷体_GB2312" w:eastAsia="楷体_GB2312" w:cs="楷体_GB2312"/>
          <w:sz w:val="32"/>
          <w:szCs w:val="32"/>
        </w:rPr>
        <w:t>（一）</w:t>
      </w:r>
      <w:r>
        <w:rPr>
          <w:rFonts w:hint="eastAsia" w:ascii="楷体_GB2312" w:eastAsia="楷体_GB2312" w:cs="楷体_GB2312"/>
          <w:sz w:val="32"/>
          <w:szCs w:val="32"/>
          <w:lang w:eastAsia="zh-CN"/>
        </w:rPr>
        <w:t>工作目标</w:t>
      </w:r>
    </w:p>
    <w:p w14:paraId="3CC586FC">
      <w:pPr>
        <w:pStyle w:val="8"/>
        <w:keepNext w:val="0"/>
        <w:keepLines w:val="0"/>
        <w:pageBreakBefore w:val="0"/>
        <w:widowControl w:val="0"/>
        <w:kinsoku/>
        <w:wordWrap/>
        <w:overflowPunct/>
        <w:topLinePunct w:val="0"/>
        <w:autoSpaceDE/>
        <w:autoSpaceDN/>
        <w:bidi w:val="0"/>
        <w:adjustRightInd/>
        <w:spacing w:line="560" w:lineRule="exact"/>
        <w:ind w:firstLine="644"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按照省、市、贵安新区有关要求，全面落实农村学前教育儿童营养改善工作，科学有效的实施学前营养改善补助计划，进一步改善农村学前教育儿童营养状况，提高农村学前教育儿童健康水平。落实全面覆盖贵安新区34所幼儿园，学前儿童</w:t>
      </w:r>
      <w:r>
        <w:rPr>
          <w:rFonts w:hint="eastAsia" w:ascii="Times New Roman" w:hAnsi="Times New Roman" w:eastAsia="仿宋_GB2312" w:cs="Times New Roman"/>
          <w:sz w:val="32"/>
          <w:szCs w:val="32"/>
          <w:lang w:val="en-US" w:eastAsia="zh"/>
        </w:rPr>
        <w:t>5702</w:t>
      </w:r>
      <w:r>
        <w:rPr>
          <w:rFonts w:hint="eastAsia" w:ascii="Times New Roman" w:hAnsi="Times New Roman" w:eastAsia="仿宋_GB2312" w:cs="Times New Roman"/>
          <w:sz w:val="32"/>
          <w:szCs w:val="32"/>
          <w:lang w:val="en-US" w:eastAsia="zh-CN"/>
        </w:rPr>
        <w:t>人营养改善工作。加快学前教育发展，扩大儿童营养改善计划覆盖面，促进贵安新区儿童健康成长。</w:t>
      </w:r>
    </w:p>
    <w:p w14:paraId="3CE8C9E3">
      <w:pPr>
        <w:keepNext w:val="0"/>
        <w:keepLines w:val="0"/>
        <w:pageBreakBefore w:val="0"/>
        <w:widowControl w:val="0"/>
        <w:kinsoku/>
        <w:wordWrap/>
        <w:overflowPunct/>
        <w:topLinePunct w:val="0"/>
        <w:autoSpaceDE/>
        <w:autoSpaceDN/>
        <w:bidi w:val="0"/>
        <w:adjustRightInd/>
        <w:spacing w:line="560" w:lineRule="exact"/>
        <w:ind w:left="0" w:firstLine="644" w:firstLineChars="200"/>
        <w:textAlignment w:val="auto"/>
        <w:rPr>
          <w:rFonts w:hint="eastAsia" w:ascii="楷体_GB2312" w:eastAsia="楷体_GB2312" w:cs="楷体_GB2312"/>
          <w:sz w:val="32"/>
          <w:szCs w:val="32"/>
          <w:lang w:eastAsia="zh-CN"/>
        </w:rPr>
      </w:pPr>
      <w:r>
        <w:rPr>
          <w:rFonts w:hint="eastAsia" w:ascii="楷体_GB2312" w:eastAsia="楷体_GB2312" w:cs="楷体_GB2312"/>
          <w:sz w:val="32"/>
          <w:szCs w:val="32"/>
          <w:lang w:eastAsia="zh-CN"/>
        </w:rPr>
        <w:t>（二）实施方式</w:t>
      </w:r>
    </w:p>
    <w:p w14:paraId="3432B793">
      <w:pPr>
        <w:pStyle w:val="8"/>
        <w:keepNext w:val="0"/>
        <w:keepLines w:val="0"/>
        <w:pageBreakBefore w:val="0"/>
        <w:widowControl w:val="0"/>
        <w:kinsoku/>
        <w:wordWrap/>
        <w:overflowPunct/>
        <w:topLinePunct w:val="0"/>
        <w:autoSpaceDE/>
        <w:autoSpaceDN/>
        <w:bidi w:val="0"/>
        <w:adjustRightInd/>
        <w:spacing w:line="560" w:lineRule="exact"/>
        <w:ind w:firstLine="644"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由社会事业管理局负责指导学校抓好该项目的组织实施和管理工作，落实食品安全与营养健康管理制度，从实际出发针对学前儿童身体发育成长需要，科学合理配餐，按照“四统”采购要求，保证专项资金全部用于学生食材采购，确保“每一分钱都吃到学生嘴里”。会同经济发展局等部门通过召开家长会、听证会等方式，广泛征求学校、家长和社会各界意见，坚持“公益性、零利润”原则，在充分考虑当地农村居民人均收入、农村学生家庭经济承受能力等因素的基础上，合理确定家长承担部分的收费标准。市场监管局加强对学校、食材配送企业的指导和监督，确保食品安全；财政金融工作局加强对营养改善计划专项资金的监管，确保营养改善计划资金安全。</w:t>
      </w:r>
    </w:p>
    <w:p w14:paraId="5AF32AF8">
      <w:pPr>
        <w:keepNext w:val="0"/>
        <w:keepLines w:val="0"/>
        <w:pageBreakBefore w:val="0"/>
        <w:widowControl w:val="0"/>
        <w:kinsoku/>
        <w:wordWrap/>
        <w:overflowPunct/>
        <w:topLinePunct w:val="0"/>
        <w:autoSpaceDE/>
        <w:autoSpaceDN/>
        <w:bidi w:val="0"/>
        <w:adjustRightInd/>
        <w:spacing w:line="560" w:lineRule="exact"/>
        <w:ind w:left="0" w:firstLine="644" w:firstLineChars="200"/>
        <w:textAlignment w:val="auto"/>
        <w:rPr>
          <w:rFonts w:hint="eastAsia" w:ascii="楷体_GB2312" w:eastAsia="楷体_GB2312" w:cs="楷体_GB2312"/>
          <w:color w:val="000000" w:themeColor="text1"/>
          <w:sz w:val="32"/>
          <w:szCs w:val="32"/>
          <w:lang w:eastAsia="zh-CN"/>
          <w14:textFill>
            <w14:solidFill>
              <w14:schemeClr w14:val="tx1"/>
            </w14:solidFill>
          </w14:textFill>
        </w:rPr>
      </w:pPr>
      <w:r>
        <w:rPr>
          <w:rFonts w:hint="eastAsia" w:ascii="楷体_GB2312" w:eastAsia="楷体_GB2312" w:cs="楷体_GB2312"/>
          <w:color w:val="000000" w:themeColor="text1"/>
          <w:sz w:val="32"/>
          <w:szCs w:val="32"/>
          <w:lang w:eastAsia="zh-CN"/>
          <w14:textFill>
            <w14:solidFill>
              <w14:schemeClr w14:val="tx1"/>
            </w14:solidFill>
          </w14:textFill>
        </w:rPr>
        <w:t>（三）进度安排及阶段目标</w:t>
      </w:r>
    </w:p>
    <w:p w14:paraId="6279CA38">
      <w:pPr>
        <w:pStyle w:val="8"/>
        <w:keepNext w:val="0"/>
        <w:keepLines w:val="0"/>
        <w:pageBreakBefore w:val="0"/>
        <w:widowControl w:val="0"/>
        <w:kinsoku/>
        <w:wordWrap/>
        <w:overflowPunct/>
        <w:topLinePunct w:val="0"/>
        <w:autoSpaceDE/>
        <w:autoSpaceDN/>
        <w:bidi w:val="0"/>
        <w:adjustRightInd/>
        <w:spacing w:line="560" w:lineRule="exact"/>
        <w:ind w:firstLine="644" w:firstLineChars="200"/>
        <w:jc w:val="both"/>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1.全面实施阶段</w:t>
      </w:r>
    </w:p>
    <w:p w14:paraId="3F5235CD">
      <w:pPr>
        <w:pStyle w:val="8"/>
        <w:keepNext w:val="0"/>
        <w:keepLines w:val="0"/>
        <w:pageBreakBefore w:val="0"/>
        <w:widowControl w:val="0"/>
        <w:kinsoku/>
        <w:wordWrap/>
        <w:overflowPunct/>
        <w:topLinePunct w:val="0"/>
        <w:autoSpaceDE/>
        <w:autoSpaceDN/>
        <w:bidi w:val="0"/>
        <w:adjustRightInd/>
        <w:spacing w:line="560" w:lineRule="exact"/>
        <w:ind w:firstLine="644"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2025年春季学期开始，由新区社会事业管理局指导各直管区农村公办幼儿园及农村普惠性幼儿园按要求全面实施农村学前教育儿童营养改善计划，根据方案要求严格执行相关标准。</w:t>
      </w:r>
    </w:p>
    <w:p w14:paraId="3A63101F">
      <w:pPr>
        <w:pStyle w:val="8"/>
        <w:keepNext w:val="0"/>
        <w:keepLines w:val="0"/>
        <w:pageBreakBefore w:val="0"/>
        <w:widowControl w:val="0"/>
        <w:kinsoku/>
        <w:wordWrap/>
        <w:overflowPunct/>
        <w:topLinePunct w:val="0"/>
        <w:autoSpaceDE/>
        <w:autoSpaceDN/>
        <w:bidi w:val="0"/>
        <w:adjustRightInd/>
        <w:spacing w:line="560" w:lineRule="exact"/>
        <w:ind w:firstLine="644" w:firstLineChars="200"/>
        <w:jc w:val="both"/>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2.总结提升阶段</w:t>
      </w:r>
    </w:p>
    <w:p w14:paraId="0FE90122">
      <w:pPr>
        <w:pStyle w:val="8"/>
        <w:keepNext w:val="0"/>
        <w:keepLines w:val="0"/>
        <w:pageBreakBefore w:val="0"/>
        <w:widowControl w:val="0"/>
        <w:kinsoku/>
        <w:wordWrap/>
        <w:overflowPunct/>
        <w:topLinePunct w:val="0"/>
        <w:autoSpaceDE/>
        <w:autoSpaceDN/>
        <w:bidi w:val="0"/>
        <w:adjustRightInd/>
        <w:spacing w:line="560" w:lineRule="exact"/>
        <w:ind w:firstLine="644" w:firstLineChars="200"/>
        <w:jc w:val="both"/>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2025年12月，全面实施农村学前教育儿童营养改善计划实施后取得的社会效益，分析实际运行过程中存在的弊端和不足，确保贵安新区农村学前教育儿童营养健康水平得到全面提升，保障幼儿健康成长。</w:t>
      </w:r>
    </w:p>
    <w:p w14:paraId="74685BD8">
      <w:pPr>
        <w:keepNext w:val="0"/>
        <w:keepLines w:val="0"/>
        <w:pageBreakBefore w:val="0"/>
        <w:widowControl w:val="0"/>
        <w:kinsoku/>
        <w:wordWrap/>
        <w:overflowPunct/>
        <w:topLinePunct w:val="0"/>
        <w:autoSpaceDE/>
        <w:autoSpaceDN/>
        <w:bidi w:val="0"/>
        <w:adjustRightInd/>
        <w:spacing w:line="560" w:lineRule="exact"/>
        <w:ind w:left="0" w:firstLine="644" w:firstLineChars="200"/>
        <w:textAlignment w:val="auto"/>
        <w:rPr>
          <w:rFonts w:hint="eastAsia" w:ascii="楷体_GB2312" w:hAnsi="楷体_GB2312" w:eastAsia="楷体_GB2312" w:cs="楷体_GB2312"/>
          <w:color w:val="000000" w:themeColor="text1"/>
          <w:sz w:val="32"/>
          <w:szCs w:val="32"/>
          <w:lang w:eastAsia="zh-CN"/>
          <w14:textFill>
            <w14:solidFill>
              <w14:schemeClr w14:val="tx1"/>
            </w14:solidFill>
          </w14:textFill>
        </w:rPr>
      </w:pPr>
      <w:r>
        <w:rPr>
          <w:rFonts w:hint="eastAsia" w:ascii="楷体_GB2312" w:hAnsi="楷体_GB2312" w:eastAsia="楷体_GB2312" w:cs="楷体_GB2312"/>
          <w:color w:val="000000" w:themeColor="text1"/>
          <w:sz w:val="32"/>
          <w:szCs w:val="32"/>
          <w:lang w:eastAsia="zh-CN"/>
          <w14:textFill>
            <w14:solidFill>
              <w14:schemeClr w14:val="tx1"/>
            </w14:solidFill>
          </w14:textFill>
        </w:rPr>
        <w:t>（四）预期成果</w:t>
      </w:r>
    </w:p>
    <w:p w14:paraId="16442E4A">
      <w:pPr>
        <w:pStyle w:val="8"/>
        <w:keepNext w:val="0"/>
        <w:keepLines w:val="0"/>
        <w:pageBreakBefore w:val="0"/>
        <w:widowControl w:val="0"/>
        <w:kinsoku/>
        <w:wordWrap/>
        <w:overflowPunct/>
        <w:topLinePunct w:val="0"/>
        <w:autoSpaceDE/>
        <w:autoSpaceDN/>
        <w:bidi w:val="0"/>
        <w:adjustRightInd/>
        <w:spacing w:line="560" w:lineRule="exact"/>
        <w:ind w:firstLine="644"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严格按照“四统”要求，确保财政保障专项资金全部用于食材采购，确保“每一分钱都吃到幼儿嘴里”，提高学前教育儿童营养改善计划管理水平，保障供餐质量，确保幼儿吃得营养、均衡、科学，提高农村学前教育儿童营养健康水平。</w:t>
      </w:r>
    </w:p>
    <w:p w14:paraId="52E0D07D">
      <w:pPr>
        <w:keepNext w:val="0"/>
        <w:keepLines w:val="0"/>
        <w:pageBreakBefore w:val="0"/>
        <w:widowControl w:val="0"/>
        <w:kinsoku/>
        <w:wordWrap/>
        <w:overflowPunct/>
        <w:topLinePunct w:val="0"/>
        <w:autoSpaceDE/>
        <w:autoSpaceDN/>
        <w:bidi w:val="0"/>
        <w:adjustRightInd/>
        <w:spacing w:line="560" w:lineRule="exact"/>
        <w:ind w:left="0" w:firstLine="644" w:firstLineChars="200"/>
        <w:textAlignment w:val="auto"/>
        <w:rPr>
          <w:rFonts w:hint="eastAsia" w:ascii="黑体" w:eastAsia="黑体" w:cs="黑体"/>
          <w:sz w:val="32"/>
          <w:szCs w:val="32"/>
        </w:rPr>
      </w:pPr>
      <w:r>
        <w:rPr>
          <w:rFonts w:hint="eastAsia" w:ascii="黑体" w:eastAsia="黑体" w:cs="黑体"/>
          <w:sz w:val="32"/>
          <w:szCs w:val="32"/>
        </w:rPr>
        <w:t>五、实施周期</w:t>
      </w:r>
    </w:p>
    <w:p w14:paraId="34CE5800">
      <w:pPr>
        <w:pStyle w:val="8"/>
        <w:keepNext w:val="0"/>
        <w:keepLines w:val="0"/>
        <w:pageBreakBefore w:val="0"/>
        <w:widowControl w:val="0"/>
        <w:kinsoku/>
        <w:wordWrap/>
        <w:overflowPunct/>
        <w:topLinePunct w:val="0"/>
        <w:autoSpaceDE/>
        <w:autoSpaceDN/>
        <w:bidi w:val="0"/>
        <w:adjustRightInd/>
        <w:spacing w:line="560" w:lineRule="exact"/>
        <w:ind w:firstLine="644"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2025年2月起至2025年12月。</w:t>
      </w:r>
    </w:p>
    <w:p w14:paraId="084F11B1">
      <w:pPr>
        <w:keepNext w:val="0"/>
        <w:keepLines w:val="0"/>
        <w:pageBreakBefore w:val="0"/>
        <w:widowControl w:val="0"/>
        <w:kinsoku/>
        <w:wordWrap/>
        <w:overflowPunct/>
        <w:topLinePunct w:val="0"/>
        <w:autoSpaceDE/>
        <w:autoSpaceDN/>
        <w:bidi w:val="0"/>
        <w:adjustRightInd/>
        <w:spacing w:line="560" w:lineRule="exact"/>
        <w:ind w:left="0" w:firstLine="644" w:firstLineChars="200"/>
        <w:textAlignment w:val="auto"/>
        <w:rPr>
          <w:rFonts w:hint="eastAsia" w:ascii="黑体" w:eastAsia="黑体" w:cs="黑体"/>
          <w:sz w:val="32"/>
          <w:szCs w:val="32"/>
        </w:rPr>
      </w:pPr>
      <w:r>
        <w:rPr>
          <w:rFonts w:hint="eastAsia" w:ascii="黑体" w:eastAsia="黑体" w:cs="黑体"/>
          <w:sz w:val="32"/>
          <w:szCs w:val="32"/>
        </w:rPr>
        <w:t>六、年度预算计划</w:t>
      </w:r>
    </w:p>
    <w:p w14:paraId="288896C7">
      <w:pPr>
        <w:pStyle w:val="8"/>
        <w:keepNext w:val="0"/>
        <w:keepLines w:val="0"/>
        <w:pageBreakBefore w:val="0"/>
        <w:widowControl w:val="0"/>
        <w:kinsoku/>
        <w:wordWrap/>
        <w:overflowPunct/>
        <w:topLinePunct w:val="0"/>
        <w:autoSpaceDE/>
        <w:autoSpaceDN/>
        <w:bidi w:val="0"/>
        <w:adjustRightInd/>
        <w:spacing w:line="560" w:lineRule="exact"/>
        <w:ind w:firstLine="644"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2025年预算：一般公共预算570.2万元。贵安新区2025年实施学前教育儿童营养改善计划预计5702人，按5元/生/天、全年200天测算，共计570.20万元。</w:t>
      </w:r>
    </w:p>
    <w:p w14:paraId="62FFD47B">
      <w:pPr>
        <w:keepNext w:val="0"/>
        <w:keepLines w:val="0"/>
        <w:pageBreakBefore w:val="0"/>
        <w:widowControl w:val="0"/>
        <w:kinsoku/>
        <w:wordWrap/>
        <w:overflowPunct/>
        <w:topLinePunct w:val="0"/>
        <w:autoSpaceDE/>
        <w:autoSpaceDN/>
        <w:bidi w:val="0"/>
        <w:adjustRightInd/>
        <w:spacing w:line="560" w:lineRule="exact"/>
        <w:ind w:left="0" w:firstLine="644" w:firstLineChars="200"/>
        <w:textAlignment w:val="auto"/>
        <w:rPr>
          <w:rFonts w:hint="eastAsia" w:ascii="黑体" w:eastAsia="黑体" w:cs="黑体"/>
          <w:sz w:val="32"/>
          <w:szCs w:val="32"/>
        </w:rPr>
      </w:pPr>
      <w:r>
        <w:rPr>
          <w:rFonts w:hint="eastAsia" w:ascii="黑体" w:eastAsia="黑体" w:cs="黑体"/>
          <w:sz w:val="32"/>
          <w:szCs w:val="32"/>
        </w:rPr>
        <w:t>七、绩效目标和指标</w:t>
      </w:r>
    </w:p>
    <w:p w14:paraId="1DDD452A">
      <w:pPr>
        <w:pStyle w:val="8"/>
        <w:keepNext w:val="0"/>
        <w:keepLines w:val="0"/>
        <w:pageBreakBefore w:val="0"/>
        <w:widowControl w:val="0"/>
        <w:kinsoku/>
        <w:wordWrap/>
        <w:overflowPunct/>
        <w:topLinePunct w:val="0"/>
        <w:autoSpaceDE/>
        <w:autoSpaceDN/>
        <w:bidi w:val="0"/>
        <w:adjustRightInd/>
        <w:spacing w:line="560" w:lineRule="exact"/>
        <w:ind w:firstLine="644"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详见下表。</w:t>
      </w:r>
    </w:p>
    <w:p w14:paraId="0EE6906F">
      <w:pPr>
        <w:pStyle w:val="5"/>
        <w:keepNext w:val="0"/>
        <w:keepLines w:val="0"/>
        <w:pageBreakBefore w:val="0"/>
        <w:widowControl w:val="0"/>
        <w:kinsoku/>
        <w:wordWrap/>
        <w:overflowPunct/>
        <w:topLinePunct w:val="0"/>
        <w:autoSpaceDE/>
        <w:autoSpaceDN/>
        <w:bidi w:val="0"/>
        <w:spacing w:after="0" w:afterLines="0" w:line="560" w:lineRule="exact"/>
        <w:textAlignment w:val="auto"/>
        <w:sectPr>
          <w:footerReference r:id="rId3" w:type="default"/>
          <w:pgSz w:w="16838" w:h="11906" w:orient="landscape"/>
          <w:pgMar w:top="1276" w:right="1020" w:bottom="1412" w:left="1020" w:header="851" w:footer="992" w:gutter="0"/>
          <w:pgBorders>
            <w:top w:val="none" w:sz="0" w:space="0"/>
            <w:left w:val="none" w:sz="0" w:space="0"/>
            <w:bottom w:val="none" w:sz="0" w:space="0"/>
            <w:right w:val="none" w:sz="0" w:space="0"/>
          </w:pgBorders>
          <w:pgNumType w:fmt="decimal" w:start="1"/>
          <w:cols w:space="720" w:num="1"/>
          <w:rtlGutter w:val="1"/>
          <w:docGrid w:type="linesAndChars" w:linePitch="317" w:charSpace="604"/>
        </w:sectPr>
      </w:pPr>
    </w:p>
    <w:tbl>
      <w:tblPr>
        <w:tblStyle w:val="10"/>
        <w:tblW w:w="1501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26"/>
        <w:gridCol w:w="1612"/>
        <w:gridCol w:w="2409"/>
        <w:gridCol w:w="1241"/>
        <w:gridCol w:w="1136"/>
        <w:gridCol w:w="1459"/>
        <w:gridCol w:w="2750"/>
        <w:gridCol w:w="3081"/>
      </w:tblGrid>
      <w:tr w14:paraId="26DA4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blHeader/>
        </w:trPr>
        <w:tc>
          <w:tcPr>
            <w:tcW w:w="15014" w:type="dxa"/>
            <w:gridSpan w:val="8"/>
            <w:tcBorders>
              <w:top w:val="nil"/>
              <w:left w:val="nil"/>
              <w:bottom w:val="nil"/>
              <w:right w:val="nil"/>
            </w:tcBorders>
            <w:shd w:val="clear" w:color="auto" w:fill="auto"/>
            <w:vAlign w:val="center"/>
          </w:tcPr>
          <w:p w14:paraId="4A4C253E">
            <w:pPr>
              <w:keepNext w:val="0"/>
              <w:keepLines w:val="0"/>
              <w:widowControl/>
              <w:suppressLineNumbers w:val="0"/>
              <w:jc w:val="center"/>
              <w:textAlignment w:val="center"/>
              <w:rPr>
                <w:rFonts w:hint="eastAsia" w:ascii="宋体" w:hAnsi="宋体" w:eastAsia="宋体" w:cs="宋体"/>
                <w:b/>
                <w:bCs/>
                <w:i w:val="0"/>
                <w:iCs w:val="0"/>
                <w:color w:val="000000"/>
                <w:sz w:val="43"/>
                <w:szCs w:val="43"/>
                <w:u w:val="none"/>
              </w:rPr>
            </w:pPr>
            <w:r>
              <w:rPr>
                <w:rFonts w:hint="eastAsia" w:ascii="宋体" w:hAnsi="宋体" w:eastAsia="宋体" w:cs="宋体"/>
                <w:b/>
                <w:bCs/>
                <w:i w:val="0"/>
                <w:iCs w:val="0"/>
                <w:color w:val="000000"/>
                <w:kern w:val="0"/>
                <w:sz w:val="43"/>
                <w:szCs w:val="43"/>
                <w:u w:val="none"/>
                <w:lang w:val="en-US" w:eastAsia="zh-CN" w:bidi="ar"/>
              </w:rPr>
              <w:t>项目支出绩效目标申报表</w:t>
            </w:r>
          </w:p>
        </w:tc>
      </w:tr>
      <w:tr w14:paraId="7BB0E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 w:hRule="atLeast"/>
          <w:tblHeader/>
        </w:trPr>
        <w:tc>
          <w:tcPr>
            <w:tcW w:w="15014" w:type="dxa"/>
            <w:gridSpan w:val="8"/>
            <w:tcBorders>
              <w:top w:val="nil"/>
              <w:left w:val="nil"/>
              <w:bottom w:val="single" w:color="auto" w:sz="4" w:space="0"/>
              <w:right w:val="nil"/>
            </w:tcBorders>
            <w:shd w:val="clear" w:color="auto" w:fill="auto"/>
            <w:vAlign w:val="center"/>
          </w:tcPr>
          <w:p w14:paraId="4998CA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（2025年度）</w:t>
            </w:r>
          </w:p>
        </w:tc>
      </w:tr>
      <w:tr w14:paraId="32FC9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blHeader/>
        </w:trPr>
        <w:tc>
          <w:tcPr>
            <w:tcW w:w="2938"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8A2E92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项目名称</w:t>
            </w:r>
          </w:p>
        </w:tc>
        <w:tc>
          <w:tcPr>
            <w:tcW w:w="478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4B7C8E52">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农村学前教育儿童营养改善计划</w:t>
            </w:r>
            <w:r>
              <w:rPr>
                <w:rFonts w:hint="eastAsia" w:ascii="宋体" w:hAnsi="宋体" w:cs="宋体"/>
                <w:i w:val="0"/>
                <w:iCs w:val="0"/>
                <w:color w:val="000000"/>
                <w:kern w:val="0"/>
                <w:sz w:val="20"/>
                <w:szCs w:val="20"/>
                <w:u w:val="none"/>
                <w:lang w:val="en-US" w:eastAsia="zh-CN" w:bidi="ar"/>
              </w:rPr>
              <w:t>项目</w:t>
            </w:r>
          </w:p>
        </w:tc>
        <w:tc>
          <w:tcPr>
            <w:tcW w:w="1459" w:type="dxa"/>
            <w:tcBorders>
              <w:top w:val="single" w:color="auto" w:sz="4" w:space="0"/>
              <w:left w:val="single" w:color="auto" w:sz="4" w:space="0"/>
              <w:bottom w:val="single" w:color="auto" w:sz="4" w:space="0"/>
              <w:right w:val="single" w:color="auto" w:sz="4" w:space="0"/>
            </w:tcBorders>
            <w:shd w:val="clear" w:color="auto" w:fill="auto"/>
            <w:vAlign w:val="center"/>
          </w:tcPr>
          <w:p w14:paraId="10AEECA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项目编码</w:t>
            </w:r>
          </w:p>
        </w:tc>
        <w:tc>
          <w:tcPr>
            <w:tcW w:w="583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CF824FF">
            <w:pPr>
              <w:jc w:val="center"/>
              <w:rPr>
                <w:rFonts w:hint="eastAsia" w:ascii="宋体" w:hAnsi="宋体" w:eastAsia="宋体" w:cs="宋体"/>
                <w:i w:val="0"/>
                <w:iCs w:val="0"/>
                <w:color w:val="000000"/>
                <w:sz w:val="20"/>
                <w:szCs w:val="20"/>
                <w:u w:val="none"/>
              </w:rPr>
            </w:pPr>
          </w:p>
        </w:tc>
      </w:tr>
      <w:tr w14:paraId="7B1AD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blHeader/>
        </w:trPr>
        <w:tc>
          <w:tcPr>
            <w:tcW w:w="2938"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57A0D86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主管部门及代码</w:t>
            </w:r>
          </w:p>
        </w:tc>
        <w:tc>
          <w:tcPr>
            <w:tcW w:w="478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28966A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864001/贵安新区管理委员会社会事业管理局</w:t>
            </w:r>
          </w:p>
        </w:tc>
        <w:tc>
          <w:tcPr>
            <w:tcW w:w="1459" w:type="dxa"/>
            <w:tcBorders>
              <w:top w:val="single" w:color="auto" w:sz="4" w:space="0"/>
              <w:left w:val="single" w:color="auto" w:sz="4" w:space="0"/>
              <w:bottom w:val="single" w:color="auto" w:sz="4" w:space="0"/>
              <w:right w:val="single" w:color="auto" w:sz="4" w:space="0"/>
            </w:tcBorders>
            <w:shd w:val="clear" w:color="auto" w:fill="FFFFFF"/>
            <w:vAlign w:val="center"/>
          </w:tcPr>
          <w:p w14:paraId="5797F11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实施单位</w:t>
            </w:r>
          </w:p>
        </w:tc>
        <w:tc>
          <w:tcPr>
            <w:tcW w:w="583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6599F8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贵安新区管理委员会社会事业管理局</w:t>
            </w:r>
          </w:p>
        </w:tc>
      </w:tr>
      <w:tr w14:paraId="152A4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 w:hRule="atLeast"/>
        </w:trPr>
        <w:tc>
          <w:tcPr>
            <w:tcW w:w="2938" w:type="dxa"/>
            <w:gridSpan w:val="2"/>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064AE85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资金来源</w:t>
            </w:r>
          </w:p>
        </w:tc>
        <w:tc>
          <w:tcPr>
            <w:tcW w:w="12076" w:type="dxa"/>
            <w:gridSpan w:val="6"/>
            <w:tcBorders>
              <w:top w:val="single" w:color="auto" w:sz="4" w:space="0"/>
              <w:left w:val="single" w:color="auto" w:sz="4" w:space="0"/>
              <w:bottom w:val="single" w:color="auto" w:sz="4" w:space="0"/>
              <w:right w:val="single" w:color="auto" w:sz="4" w:space="0"/>
            </w:tcBorders>
            <w:shd w:val="clear" w:color="auto" w:fill="FFFFFF"/>
            <w:vAlign w:val="center"/>
          </w:tcPr>
          <w:p w14:paraId="1A35364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年度资金情况</w:t>
            </w:r>
          </w:p>
        </w:tc>
      </w:tr>
      <w:tr w14:paraId="5469A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 w:hRule="atLeast"/>
        </w:trPr>
        <w:tc>
          <w:tcPr>
            <w:tcW w:w="2938" w:type="dxa"/>
            <w:gridSpan w:val="2"/>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6E839EE2">
            <w:pPr>
              <w:jc w:val="center"/>
              <w:rPr>
                <w:rFonts w:hint="eastAsia" w:ascii="宋体" w:hAnsi="宋体" w:eastAsia="宋体" w:cs="宋体"/>
                <w:b/>
                <w:bCs/>
                <w:i w:val="0"/>
                <w:iCs w:val="0"/>
                <w:color w:val="000000"/>
                <w:sz w:val="20"/>
                <w:szCs w:val="20"/>
                <w:u w:val="none"/>
              </w:rPr>
            </w:pPr>
          </w:p>
        </w:tc>
        <w:tc>
          <w:tcPr>
            <w:tcW w:w="3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31D96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资金总额(元)：</w:t>
            </w:r>
          </w:p>
        </w:tc>
        <w:tc>
          <w:tcPr>
            <w:tcW w:w="8426"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14:paraId="06A18D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5,702,000.00</w:t>
            </w:r>
          </w:p>
        </w:tc>
      </w:tr>
      <w:tr w14:paraId="05096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 w:hRule="atLeast"/>
        </w:trPr>
        <w:tc>
          <w:tcPr>
            <w:tcW w:w="2938" w:type="dxa"/>
            <w:gridSpan w:val="2"/>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096A5CB">
            <w:pPr>
              <w:jc w:val="center"/>
              <w:rPr>
                <w:rFonts w:hint="eastAsia" w:ascii="宋体" w:hAnsi="宋体" w:eastAsia="宋体" w:cs="宋体"/>
                <w:b/>
                <w:bCs/>
                <w:i w:val="0"/>
                <w:iCs w:val="0"/>
                <w:color w:val="000000"/>
                <w:sz w:val="20"/>
                <w:szCs w:val="20"/>
                <w:u w:val="none"/>
              </w:rPr>
            </w:pPr>
          </w:p>
        </w:tc>
        <w:tc>
          <w:tcPr>
            <w:tcW w:w="3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A4DB2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财政拨款</w:t>
            </w:r>
          </w:p>
        </w:tc>
        <w:tc>
          <w:tcPr>
            <w:tcW w:w="8426"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14:paraId="0F8BE4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5,702,000.00</w:t>
            </w:r>
          </w:p>
        </w:tc>
      </w:tr>
      <w:tr w14:paraId="19045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 w:hRule="atLeast"/>
        </w:trPr>
        <w:tc>
          <w:tcPr>
            <w:tcW w:w="2938" w:type="dxa"/>
            <w:gridSpan w:val="2"/>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29A0BA30">
            <w:pPr>
              <w:jc w:val="center"/>
              <w:rPr>
                <w:rFonts w:hint="eastAsia" w:ascii="宋体" w:hAnsi="宋体" w:eastAsia="宋体" w:cs="宋体"/>
                <w:b/>
                <w:bCs/>
                <w:i w:val="0"/>
                <w:iCs w:val="0"/>
                <w:color w:val="000000"/>
                <w:sz w:val="20"/>
                <w:szCs w:val="20"/>
                <w:u w:val="none"/>
              </w:rPr>
            </w:pPr>
          </w:p>
        </w:tc>
        <w:tc>
          <w:tcPr>
            <w:tcW w:w="3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A2BB7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其中：上级补助</w:t>
            </w:r>
          </w:p>
        </w:tc>
        <w:tc>
          <w:tcPr>
            <w:tcW w:w="8426"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14:paraId="5C0CCA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r>
      <w:tr w14:paraId="716C1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 w:hRule="atLeast"/>
        </w:trPr>
        <w:tc>
          <w:tcPr>
            <w:tcW w:w="2938" w:type="dxa"/>
            <w:gridSpan w:val="2"/>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3B5C6304">
            <w:pPr>
              <w:jc w:val="center"/>
              <w:rPr>
                <w:rFonts w:hint="eastAsia" w:ascii="宋体" w:hAnsi="宋体" w:eastAsia="宋体" w:cs="宋体"/>
                <w:b/>
                <w:bCs/>
                <w:i w:val="0"/>
                <w:iCs w:val="0"/>
                <w:color w:val="000000"/>
                <w:sz w:val="20"/>
                <w:szCs w:val="20"/>
                <w:u w:val="none"/>
              </w:rPr>
            </w:pPr>
          </w:p>
        </w:tc>
        <w:tc>
          <w:tcPr>
            <w:tcW w:w="3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9EE84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本级安排</w:t>
            </w:r>
          </w:p>
        </w:tc>
        <w:tc>
          <w:tcPr>
            <w:tcW w:w="8426"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14:paraId="3C928A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5,702,000.00</w:t>
            </w:r>
          </w:p>
        </w:tc>
      </w:tr>
      <w:tr w14:paraId="79A98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 w:hRule="atLeast"/>
        </w:trPr>
        <w:tc>
          <w:tcPr>
            <w:tcW w:w="2938" w:type="dxa"/>
            <w:gridSpan w:val="2"/>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3E4A4886">
            <w:pPr>
              <w:jc w:val="center"/>
              <w:rPr>
                <w:rFonts w:hint="eastAsia" w:ascii="宋体" w:hAnsi="宋体" w:eastAsia="宋体" w:cs="宋体"/>
                <w:b/>
                <w:bCs/>
                <w:i w:val="0"/>
                <w:iCs w:val="0"/>
                <w:color w:val="000000"/>
                <w:sz w:val="20"/>
                <w:szCs w:val="20"/>
                <w:u w:val="none"/>
              </w:rPr>
            </w:pPr>
          </w:p>
        </w:tc>
        <w:tc>
          <w:tcPr>
            <w:tcW w:w="3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3CFA7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其他资金</w:t>
            </w:r>
          </w:p>
        </w:tc>
        <w:tc>
          <w:tcPr>
            <w:tcW w:w="8426"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14:paraId="59F596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r>
      <w:tr w14:paraId="02CCB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32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E1F507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绩效目标</w:t>
            </w:r>
          </w:p>
        </w:tc>
        <w:tc>
          <w:tcPr>
            <w:tcW w:w="13688" w:type="dxa"/>
            <w:gridSpan w:val="7"/>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3A0DF0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目标：通过实施农村学前教育儿童营养改善计</w:t>
            </w:r>
            <w:r>
              <w:rPr>
                <w:rFonts w:hint="eastAsia" w:ascii="宋体" w:hAnsi="宋体" w:eastAsia="宋体" w:cs="宋体"/>
                <w:i w:val="0"/>
                <w:iCs w:val="0"/>
                <w:color w:val="000000"/>
                <w:kern w:val="0"/>
                <w:sz w:val="20"/>
                <w:szCs w:val="20"/>
                <w:highlight w:val="none"/>
                <w:u w:val="none"/>
                <w:lang w:val="en-US" w:eastAsia="zh-CN" w:bidi="ar"/>
              </w:rPr>
              <w:t>划，新区本级补助5元/人/天（每年按照200天计算），受益学校数34所、受益学生数5459人。提高农村学前教育儿童营养健康状况</w:t>
            </w:r>
            <w:r>
              <w:rPr>
                <w:rFonts w:hint="eastAsia" w:ascii="宋体" w:hAnsi="宋体" w:cs="宋体"/>
                <w:i w:val="0"/>
                <w:iCs w:val="0"/>
                <w:color w:val="000000"/>
                <w:kern w:val="0"/>
                <w:sz w:val="20"/>
                <w:szCs w:val="20"/>
                <w:highlight w:val="none"/>
                <w:u w:val="none"/>
                <w:lang w:val="en-US" w:eastAsia="zh-CN" w:bidi="ar"/>
              </w:rPr>
              <w:t>。</w:t>
            </w:r>
          </w:p>
        </w:tc>
      </w:tr>
      <w:tr w14:paraId="254C8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3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532FA37">
            <w:pPr>
              <w:jc w:val="center"/>
              <w:rPr>
                <w:rFonts w:hint="eastAsia" w:ascii="宋体" w:hAnsi="宋体" w:eastAsia="宋体" w:cs="宋体"/>
                <w:b/>
                <w:bCs/>
                <w:i w:val="0"/>
                <w:iCs w:val="0"/>
                <w:color w:val="000000"/>
                <w:sz w:val="20"/>
                <w:szCs w:val="20"/>
                <w:u w:val="none"/>
              </w:rPr>
            </w:pPr>
          </w:p>
        </w:tc>
        <w:tc>
          <w:tcPr>
            <w:tcW w:w="13688" w:type="dxa"/>
            <w:gridSpan w:val="7"/>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A91646B">
            <w:pPr>
              <w:jc w:val="center"/>
              <w:rPr>
                <w:rFonts w:hint="eastAsia" w:ascii="宋体" w:hAnsi="宋体" w:eastAsia="宋体" w:cs="宋体"/>
                <w:i w:val="0"/>
                <w:iCs w:val="0"/>
                <w:color w:val="000000"/>
                <w:sz w:val="20"/>
                <w:szCs w:val="20"/>
                <w:u w:val="none"/>
              </w:rPr>
            </w:pPr>
          </w:p>
        </w:tc>
      </w:tr>
      <w:tr w14:paraId="03A4B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 w:hRule="atLeast"/>
        </w:trPr>
        <w:tc>
          <w:tcPr>
            <w:tcW w:w="132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79381E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一级指标</w:t>
            </w:r>
          </w:p>
        </w:tc>
        <w:tc>
          <w:tcPr>
            <w:tcW w:w="161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106CAE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二级指标</w:t>
            </w:r>
          </w:p>
        </w:tc>
        <w:tc>
          <w:tcPr>
            <w:tcW w:w="24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B676FA6">
            <w:pPr>
              <w:keepNext w:val="0"/>
              <w:keepLines w:val="0"/>
              <w:widowControl/>
              <w:suppressLineNumbers w:val="0"/>
              <w:jc w:val="center"/>
              <w:textAlignment w:val="center"/>
              <w:rPr>
                <w:rFonts w:hint="eastAsia" w:ascii="宋体" w:hAnsi="宋体" w:eastAsia="宋体" w:cs="宋体"/>
                <w:b/>
                <w:bCs/>
                <w:i w:val="0"/>
                <w:iCs w:val="0"/>
                <w:color w:val="FF0000"/>
                <w:sz w:val="20"/>
                <w:szCs w:val="20"/>
                <w:u w:val="none"/>
              </w:rPr>
            </w:pPr>
            <w:r>
              <w:rPr>
                <w:rFonts w:hint="eastAsia" w:ascii="宋体" w:hAnsi="宋体" w:eastAsia="宋体" w:cs="宋体"/>
                <w:b/>
                <w:bCs/>
                <w:i w:val="0"/>
                <w:iCs w:val="0"/>
                <w:color w:val="000000"/>
                <w:kern w:val="0"/>
                <w:sz w:val="20"/>
                <w:szCs w:val="20"/>
                <w:u w:val="none"/>
                <w:lang w:val="en-US" w:eastAsia="zh-CN" w:bidi="ar"/>
              </w:rPr>
              <w:t>三级指标</w:t>
            </w:r>
          </w:p>
        </w:tc>
        <w:tc>
          <w:tcPr>
            <w:tcW w:w="383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341AB7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指标值</w:t>
            </w:r>
          </w:p>
        </w:tc>
        <w:tc>
          <w:tcPr>
            <w:tcW w:w="27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1CF088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备注（指标解释等）</w:t>
            </w:r>
          </w:p>
        </w:tc>
        <w:tc>
          <w:tcPr>
            <w:tcW w:w="308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500131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指标值说明（评分标准等）</w:t>
            </w:r>
          </w:p>
        </w:tc>
      </w:tr>
      <w:tr w14:paraId="7945C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 w:hRule="atLeast"/>
        </w:trPr>
        <w:tc>
          <w:tcPr>
            <w:tcW w:w="13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6C259E8">
            <w:pPr>
              <w:jc w:val="center"/>
              <w:rPr>
                <w:rFonts w:hint="eastAsia" w:ascii="宋体" w:hAnsi="宋体" w:eastAsia="宋体" w:cs="宋体"/>
                <w:b/>
                <w:bCs/>
                <w:i w:val="0"/>
                <w:iCs w:val="0"/>
                <w:color w:val="000000"/>
                <w:sz w:val="20"/>
                <w:szCs w:val="20"/>
                <w:u w:val="none"/>
              </w:rPr>
            </w:pPr>
          </w:p>
        </w:tc>
        <w:tc>
          <w:tcPr>
            <w:tcW w:w="16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E9F09C5">
            <w:pPr>
              <w:jc w:val="center"/>
              <w:rPr>
                <w:rFonts w:hint="eastAsia" w:ascii="宋体" w:hAnsi="宋体" w:eastAsia="宋体" w:cs="宋体"/>
                <w:b/>
                <w:bCs/>
                <w:i w:val="0"/>
                <w:iCs w:val="0"/>
                <w:color w:val="000000"/>
                <w:sz w:val="20"/>
                <w:szCs w:val="20"/>
                <w:u w:val="none"/>
              </w:rPr>
            </w:pPr>
          </w:p>
        </w:tc>
        <w:tc>
          <w:tcPr>
            <w:tcW w:w="24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88A10C">
            <w:pPr>
              <w:jc w:val="center"/>
              <w:rPr>
                <w:rFonts w:hint="eastAsia" w:ascii="宋体" w:hAnsi="宋体" w:eastAsia="宋体" w:cs="宋体"/>
                <w:b/>
                <w:bCs/>
                <w:i w:val="0"/>
                <w:iCs w:val="0"/>
                <w:color w:val="FF0000"/>
                <w:sz w:val="20"/>
                <w:szCs w:val="20"/>
                <w:u w:val="none"/>
              </w:rPr>
            </w:pP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3D3C685F">
            <w:pPr>
              <w:keepNext w:val="0"/>
              <w:keepLines w:val="0"/>
              <w:widowControl/>
              <w:suppressLineNumbers w:val="0"/>
              <w:jc w:val="center"/>
              <w:textAlignment w:val="center"/>
              <w:rPr>
                <w:rFonts w:hint="eastAsia" w:ascii="宋体" w:hAnsi="宋体" w:eastAsia="宋体" w:cs="宋体"/>
                <w:b/>
                <w:bCs/>
                <w:i w:val="0"/>
                <w:iCs w:val="0"/>
                <w:color w:val="FF0000"/>
                <w:sz w:val="20"/>
                <w:szCs w:val="20"/>
                <w:u w:val="none"/>
              </w:rPr>
            </w:pPr>
            <w:r>
              <w:rPr>
                <w:rFonts w:hint="eastAsia" w:ascii="宋体" w:hAnsi="宋体" w:eastAsia="宋体" w:cs="宋体"/>
                <w:b/>
                <w:bCs/>
                <w:i w:val="0"/>
                <w:iCs w:val="0"/>
                <w:color w:val="000000"/>
                <w:kern w:val="0"/>
                <w:sz w:val="20"/>
                <w:szCs w:val="20"/>
                <w:u w:val="none"/>
                <w:lang w:val="en-US" w:eastAsia="zh-CN" w:bidi="ar"/>
              </w:rPr>
              <w:t>符号</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4D49894C">
            <w:pPr>
              <w:keepNext w:val="0"/>
              <w:keepLines w:val="0"/>
              <w:widowControl/>
              <w:suppressLineNumbers w:val="0"/>
              <w:jc w:val="center"/>
              <w:textAlignment w:val="center"/>
              <w:rPr>
                <w:rFonts w:hint="eastAsia" w:ascii="宋体" w:hAnsi="宋体" w:eastAsia="宋体" w:cs="宋体"/>
                <w:b/>
                <w:bCs/>
                <w:i w:val="0"/>
                <w:iCs w:val="0"/>
                <w:color w:val="FF0000"/>
                <w:sz w:val="20"/>
                <w:szCs w:val="20"/>
                <w:u w:val="none"/>
              </w:rPr>
            </w:pPr>
            <w:r>
              <w:rPr>
                <w:rFonts w:hint="eastAsia" w:ascii="宋体" w:hAnsi="宋体" w:eastAsia="宋体" w:cs="宋体"/>
                <w:b/>
                <w:bCs/>
                <w:i w:val="0"/>
                <w:iCs w:val="0"/>
                <w:color w:val="000000"/>
                <w:kern w:val="0"/>
                <w:sz w:val="20"/>
                <w:szCs w:val="20"/>
                <w:u w:val="none"/>
                <w:lang w:val="en-US" w:eastAsia="zh-CN" w:bidi="ar"/>
              </w:rPr>
              <w:t>值</w:t>
            </w:r>
          </w:p>
        </w:tc>
        <w:tc>
          <w:tcPr>
            <w:tcW w:w="1459" w:type="dxa"/>
            <w:tcBorders>
              <w:top w:val="single" w:color="auto" w:sz="4" w:space="0"/>
              <w:left w:val="single" w:color="auto" w:sz="4" w:space="0"/>
              <w:bottom w:val="single" w:color="auto" w:sz="4" w:space="0"/>
              <w:right w:val="single" w:color="auto" w:sz="4" w:space="0"/>
            </w:tcBorders>
            <w:shd w:val="clear" w:color="auto" w:fill="auto"/>
            <w:vAlign w:val="center"/>
          </w:tcPr>
          <w:p w14:paraId="1E1FFBC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计量单位</w:t>
            </w:r>
          </w:p>
        </w:tc>
        <w:tc>
          <w:tcPr>
            <w:tcW w:w="27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D30D63A">
            <w:pPr>
              <w:jc w:val="center"/>
              <w:rPr>
                <w:rFonts w:hint="eastAsia" w:ascii="宋体" w:hAnsi="宋体" w:eastAsia="宋体" w:cs="宋体"/>
                <w:b/>
                <w:bCs/>
                <w:i w:val="0"/>
                <w:iCs w:val="0"/>
                <w:color w:val="000000"/>
                <w:sz w:val="20"/>
                <w:szCs w:val="20"/>
                <w:u w:val="none"/>
              </w:rPr>
            </w:pPr>
          </w:p>
        </w:tc>
        <w:tc>
          <w:tcPr>
            <w:tcW w:w="308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F034FD">
            <w:pPr>
              <w:jc w:val="center"/>
              <w:rPr>
                <w:rFonts w:hint="eastAsia" w:ascii="宋体" w:hAnsi="宋体" w:eastAsia="宋体" w:cs="宋体"/>
                <w:b/>
                <w:bCs/>
                <w:i w:val="0"/>
                <w:iCs w:val="0"/>
                <w:color w:val="000000"/>
                <w:sz w:val="20"/>
                <w:szCs w:val="20"/>
                <w:u w:val="none"/>
              </w:rPr>
            </w:pPr>
          </w:p>
        </w:tc>
      </w:tr>
      <w:tr w14:paraId="78E49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5" w:hRule="atLeast"/>
        </w:trPr>
        <w:tc>
          <w:tcPr>
            <w:tcW w:w="132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993889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产出指标</w:t>
            </w:r>
          </w:p>
        </w:tc>
        <w:tc>
          <w:tcPr>
            <w:tcW w:w="161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FEA0E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2409" w:type="dxa"/>
            <w:tcBorders>
              <w:top w:val="single" w:color="auto" w:sz="4" w:space="0"/>
              <w:left w:val="single" w:color="auto" w:sz="4" w:space="0"/>
              <w:bottom w:val="single" w:color="auto" w:sz="4" w:space="0"/>
              <w:right w:val="single" w:color="auto" w:sz="4" w:space="0"/>
            </w:tcBorders>
            <w:shd w:val="clear" w:color="auto" w:fill="auto"/>
            <w:vAlign w:val="center"/>
          </w:tcPr>
          <w:p w14:paraId="297250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覆盖城乡幼儿园学校数量</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30E912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9D6EE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1459" w:type="dxa"/>
            <w:tcBorders>
              <w:top w:val="single" w:color="auto" w:sz="4" w:space="0"/>
              <w:left w:val="single" w:color="auto" w:sz="4" w:space="0"/>
              <w:bottom w:val="single" w:color="auto" w:sz="4" w:space="0"/>
              <w:right w:val="single" w:color="auto" w:sz="4" w:space="0"/>
            </w:tcBorders>
            <w:shd w:val="clear" w:color="auto" w:fill="auto"/>
            <w:vAlign w:val="center"/>
          </w:tcPr>
          <w:p w14:paraId="17AC85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所</w:t>
            </w:r>
          </w:p>
        </w:tc>
        <w:tc>
          <w:tcPr>
            <w:tcW w:w="2750" w:type="dxa"/>
            <w:tcBorders>
              <w:top w:val="single" w:color="auto" w:sz="4" w:space="0"/>
              <w:left w:val="single" w:color="auto" w:sz="4" w:space="0"/>
              <w:bottom w:val="single" w:color="auto" w:sz="4" w:space="0"/>
              <w:right w:val="single" w:color="auto" w:sz="4" w:space="0"/>
            </w:tcBorders>
            <w:shd w:val="clear" w:color="auto" w:fill="auto"/>
            <w:vAlign w:val="center"/>
          </w:tcPr>
          <w:p w14:paraId="781851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反映本项目覆盖城乡幼儿园学校情况</w:t>
            </w:r>
          </w:p>
        </w:tc>
        <w:tc>
          <w:tcPr>
            <w:tcW w:w="3081" w:type="dxa"/>
            <w:tcBorders>
              <w:top w:val="single" w:color="auto" w:sz="4" w:space="0"/>
              <w:left w:val="single" w:color="auto" w:sz="4" w:space="0"/>
              <w:bottom w:val="single" w:color="auto" w:sz="4" w:space="0"/>
              <w:right w:val="single" w:color="auto" w:sz="4" w:space="0"/>
            </w:tcBorders>
            <w:shd w:val="clear" w:color="auto" w:fill="auto"/>
            <w:vAlign w:val="center"/>
          </w:tcPr>
          <w:p w14:paraId="244C68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评分标准</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覆盖城乡幼儿园学校数量≥34所，得满分，每少1所扣0.5分，扣完为止。</w:t>
            </w:r>
          </w:p>
        </w:tc>
      </w:tr>
      <w:tr w14:paraId="47EF2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7" w:hRule="atLeast"/>
        </w:trPr>
        <w:tc>
          <w:tcPr>
            <w:tcW w:w="13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5A4E1F3">
            <w:pPr>
              <w:jc w:val="center"/>
              <w:rPr>
                <w:rFonts w:hint="eastAsia" w:ascii="宋体" w:hAnsi="宋体" w:eastAsia="宋体" w:cs="宋体"/>
                <w:b/>
                <w:bCs/>
                <w:i w:val="0"/>
                <w:iCs w:val="0"/>
                <w:color w:val="000000"/>
                <w:sz w:val="20"/>
                <w:szCs w:val="20"/>
                <w:u w:val="none"/>
              </w:rPr>
            </w:pPr>
          </w:p>
        </w:tc>
        <w:tc>
          <w:tcPr>
            <w:tcW w:w="16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61E0F8">
            <w:pPr>
              <w:jc w:val="center"/>
              <w:rPr>
                <w:rFonts w:hint="eastAsia" w:ascii="宋体" w:hAnsi="宋体" w:eastAsia="宋体" w:cs="宋体"/>
                <w:i w:val="0"/>
                <w:iCs w:val="0"/>
                <w:color w:val="000000"/>
                <w:sz w:val="20"/>
                <w:szCs w:val="20"/>
                <w:u w:val="none"/>
              </w:rPr>
            </w:pPr>
          </w:p>
        </w:tc>
        <w:tc>
          <w:tcPr>
            <w:tcW w:w="2409" w:type="dxa"/>
            <w:tcBorders>
              <w:top w:val="single" w:color="auto" w:sz="4" w:space="0"/>
              <w:left w:val="single" w:color="auto" w:sz="4" w:space="0"/>
              <w:bottom w:val="single" w:color="auto" w:sz="4" w:space="0"/>
              <w:right w:val="single" w:color="auto" w:sz="4" w:space="0"/>
            </w:tcBorders>
            <w:shd w:val="clear" w:color="auto" w:fill="auto"/>
            <w:vAlign w:val="center"/>
          </w:tcPr>
          <w:p w14:paraId="697CC7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保障用餐天数</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19A6CC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32DC96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1459" w:type="dxa"/>
            <w:tcBorders>
              <w:top w:val="single" w:color="auto" w:sz="4" w:space="0"/>
              <w:left w:val="single" w:color="auto" w:sz="4" w:space="0"/>
              <w:bottom w:val="single" w:color="auto" w:sz="4" w:space="0"/>
              <w:right w:val="single" w:color="auto" w:sz="4" w:space="0"/>
            </w:tcBorders>
            <w:shd w:val="clear" w:color="auto" w:fill="auto"/>
            <w:vAlign w:val="center"/>
          </w:tcPr>
          <w:p w14:paraId="04E6C7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2750" w:type="dxa"/>
            <w:tcBorders>
              <w:top w:val="single" w:color="auto" w:sz="4" w:space="0"/>
              <w:left w:val="single" w:color="auto" w:sz="4" w:space="0"/>
              <w:bottom w:val="single" w:color="auto" w:sz="4" w:space="0"/>
              <w:right w:val="single" w:color="auto" w:sz="4" w:space="0"/>
            </w:tcBorders>
            <w:shd w:val="clear" w:color="auto" w:fill="auto"/>
            <w:vAlign w:val="center"/>
          </w:tcPr>
          <w:p w14:paraId="253BEB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反映本项目实施保障农村学前教育儿童用餐天数</w:t>
            </w:r>
          </w:p>
        </w:tc>
        <w:tc>
          <w:tcPr>
            <w:tcW w:w="3081" w:type="dxa"/>
            <w:tcBorders>
              <w:top w:val="single" w:color="auto" w:sz="4" w:space="0"/>
              <w:left w:val="single" w:color="auto" w:sz="4" w:space="0"/>
              <w:bottom w:val="single" w:color="auto" w:sz="4" w:space="0"/>
              <w:right w:val="single" w:color="auto" w:sz="4" w:space="0"/>
            </w:tcBorders>
            <w:shd w:val="clear" w:color="auto" w:fill="auto"/>
            <w:vAlign w:val="center"/>
          </w:tcPr>
          <w:p w14:paraId="48507D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评分标准</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保障用餐天数≥200天，得满分，每少10天，扣0.5分，扣完为止。</w:t>
            </w:r>
          </w:p>
        </w:tc>
      </w:tr>
      <w:tr w14:paraId="79800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95" w:hRule="atLeast"/>
        </w:trPr>
        <w:tc>
          <w:tcPr>
            <w:tcW w:w="13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A2FBB3">
            <w:pPr>
              <w:jc w:val="center"/>
              <w:rPr>
                <w:rFonts w:hint="eastAsia" w:ascii="宋体" w:hAnsi="宋体" w:eastAsia="宋体" w:cs="宋体"/>
                <w:b/>
                <w:bCs/>
                <w:i w:val="0"/>
                <w:iCs w:val="0"/>
                <w:color w:val="000000"/>
                <w:sz w:val="20"/>
                <w:szCs w:val="20"/>
                <w:u w:val="none"/>
              </w:rPr>
            </w:pPr>
          </w:p>
        </w:tc>
        <w:tc>
          <w:tcPr>
            <w:tcW w:w="1612" w:type="dxa"/>
            <w:tcBorders>
              <w:top w:val="single" w:color="auto" w:sz="4" w:space="0"/>
              <w:left w:val="single" w:color="auto" w:sz="4" w:space="0"/>
              <w:bottom w:val="single" w:color="auto" w:sz="4" w:space="0"/>
              <w:right w:val="single" w:color="auto" w:sz="4" w:space="0"/>
            </w:tcBorders>
            <w:shd w:val="clear" w:color="auto" w:fill="auto"/>
            <w:vAlign w:val="center"/>
          </w:tcPr>
          <w:p w14:paraId="01B8B4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2409" w:type="dxa"/>
            <w:tcBorders>
              <w:top w:val="single" w:color="auto" w:sz="4" w:space="0"/>
              <w:left w:val="single" w:color="auto" w:sz="4" w:space="0"/>
              <w:bottom w:val="single" w:color="auto" w:sz="4" w:space="0"/>
              <w:right w:val="single" w:color="auto" w:sz="4" w:space="0"/>
            </w:tcBorders>
            <w:shd w:val="clear" w:color="auto" w:fill="auto"/>
            <w:vAlign w:val="center"/>
          </w:tcPr>
          <w:p w14:paraId="6C6542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达到营养餐供餐标准</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56B492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定性</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0D437E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达到</w:t>
            </w:r>
          </w:p>
        </w:tc>
        <w:tc>
          <w:tcPr>
            <w:tcW w:w="1459" w:type="dxa"/>
            <w:tcBorders>
              <w:top w:val="single" w:color="auto" w:sz="4" w:space="0"/>
              <w:left w:val="single" w:color="auto" w:sz="4" w:space="0"/>
              <w:bottom w:val="single" w:color="auto" w:sz="4" w:space="0"/>
              <w:right w:val="single" w:color="auto" w:sz="4" w:space="0"/>
            </w:tcBorders>
            <w:shd w:val="clear" w:color="auto" w:fill="auto"/>
            <w:vAlign w:val="center"/>
          </w:tcPr>
          <w:p w14:paraId="4CA24F18">
            <w:pPr>
              <w:jc w:val="center"/>
              <w:rPr>
                <w:rFonts w:hint="eastAsia" w:ascii="宋体" w:hAnsi="宋体" w:eastAsia="宋体" w:cs="宋体"/>
                <w:i w:val="0"/>
                <w:iCs w:val="0"/>
                <w:color w:val="000000"/>
                <w:sz w:val="20"/>
                <w:szCs w:val="20"/>
                <w:u w:val="none"/>
              </w:rPr>
            </w:pPr>
          </w:p>
        </w:tc>
        <w:tc>
          <w:tcPr>
            <w:tcW w:w="2750" w:type="dxa"/>
            <w:tcBorders>
              <w:top w:val="single" w:color="auto" w:sz="4" w:space="0"/>
              <w:left w:val="single" w:color="auto" w:sz="4" w:space="0"/>
              <w:bottom w:val="single" w:color="auto" w:sz="4" w:space="0"/>
              <w:right w:val="single" w:color="auto" w:sz="4" w:space="0"/>
            </w:tcBorders>
            <w:shd w:val="clear" w:color="auto" w:fill="auto"/>
            <w:vAlign w:val="center"/>
          </w:tcPr>
          <w:p w14:paraId="155953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反映营养餐供餐标准是否达到每天2餐2点，牛奶供应的标准</w:t>
            </w:r>
          </w:p>
        </w:tc>
        <w:tc>
          <w:tcPr>
            <w:tcW w:w="3081" w:type="dxa"/>
            <w:tcBorders>
              <w:top w:val="single" w:color="auto" w:sz="4" w:space="0"/>
              <w:left w:val="single" w:color="auto" w:sz="4" w:space="0"/>
              <w:bottom w:val="single" w:color="auto" w:sz="4" w:space="0"/>
              <w:right w:val="single" w:color="auto" w:sz="4" w:space="0"/>
            </w:tcBorders>
            <w:shd w:val="clear" w:color="auto" w:fill="auto"/>
            <w:vAlign w:val="center"/>
          </w:tcPr>
          <w:p w14:paraId="56CD4A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评分标准</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达到每天2餐2点，牛奶供应的标准，得满分。发现一次未达到标准，扣1分，扣完为止。</w:t>
            </w:r>
          </w:p>
        </w:tc>
      </w:tr>
      <w:tr w14:paraId="00AC1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 w:hRule="atLeast"/>
        </w:trPr>
        <w:tc>
          <w:tcPr>
            <w:tcW w:w="1326" w:type="dxa"/>
            <w:vMerge w:val="restart"/>
            <w:tcBorders>
              <w:top w:val="single" w:color="auto" w:sz="4" w:space="0"/>
              <w:left w:val="single" w:color="auto" w:sz="4" w:space="0"/>
              <w:right w:val="single" w:color="auto" w:sz="4" w:space="0"/>
            </w:tcBorders>
            <w:shd w:val="clear" w:color="auto" w:fill="auto"/>
            <w:vAlign w:val="center"/>
          </w:tcPr>
          <w:p w14:paraId="46EB33C0">
            <w:pPr>
              <w:jc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产出指标</w:t>
            </w:r>
          </w:p>
        </w:tc>
        <w:tc>
          <w:tcPr>
            <w:tcW w:w="1612" w:type="dxa"/>
            <w:tcBorders>
              <w:top w:val="single" w:color="auto" w:sz="4" w:space="0"/>
              <w:left w:val="single" w:color="auto" w:sz="4" w:space="0"/>
              <w:bottom w:val="single" w:color="auto" w:sz="4" w:space="0"/>
              <w:right w:val="single" w:color="auto" w:sz="4" w:space="0"/>
            </w:tcBorders>
            <w:shd w:val="clear" w:color="auto" w:fill="auto"/>
            <w:vAlign w:val="center"/>
          </w:tcPr>
          <w:p w14:paraId="5AB92B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2409" w:type="dxa"/>
            <w:tcBorders>
              <w:top w:val="single" w:color="auto" w:sz="4" w:space="0"/>
              <w:left w:val="single" w:color="auto" w:sz="4" w:space="0"/>
              <w:bottom w:val="single" w:color="auto" w:sz="4" w:space="0"/>
              <w:right w:val="single" w:color="auto" w:sz="4" w:space="0"/>
            </w:tcBorders>
            <w:shd w:val="clear" w:color="auto" w:fill="auto"/>
            <w:vAlign w:val="center"/>
          </w:tcPr>
          <w:p w14:paraId="31663C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补贴工作完成及时性</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5A4316C2">
            <w:pPr>
              <w:keepNext w:val="0"/>
              <w:keepLines w:val="0"/>
              <w:widowControl/>
              <w:suppressLineNumbers w:val="0"/>
              <w:jc w:val="center"/>
              <w:textAlignment w:val="center"/>
              <w:rPr>
                <w:rFonts w:ascii="东文宋体" w:hAnsi="东文宋体" w:eastAsia="东文宋体" w:cs="东文宋体"/>
                <w:i w:val="0"/>
                <w:iCs w:val="0"/>
                <w:color w:val="000000"/>
                <w:sz w:val="20"/>
                <w:szCs w:val="20"/>
                <w:u w:val="none"/>
              </w:rPr>
            </w:pPr>
            <w:r>
              <w:rPr>
                <w:rFonts w:hint="default" w:ascii="东文宋体" w:hAnsi="东文宋体" w:eastAsia="东文宋体" w:cs="东文宋体"/>
                <w:i w:val="0"/>
                <w:iCs w:val="0"/>
                <w:color w:val="000000"/>
                <w:kern w:val="0"/>
                <w:sz w:val="20"/>
                <w:szCs w:val="20"/>
                <w:u w:val="none"/>
                <w:lang w:val="en-US" w:eastAsia="zh-CN" w:bidi="ar"/>
              </w:rPr>
              <w:t>定性</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A9D61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及时</w:t>
            </w:r>
          </w:p>
        </w:tc>
        <w:tc>
          <w:tcPr>
            <w:tcW w:w="1459" w:type="dxa"/>
            <w:tcBorders>
              <w:top w:val="single" w:color="auto" w:sz="4" w:space="0"/>
              <w:left w:val="single" w:color="auto" w:sz="4" w:space="0"/>
              <w:bottom w:val="single" w:color="auto" w:sz="4" w:space="0"/>
              <w:right w:val="single" w:color="auto" w:sz="4" w:space="0"/>
            </w:tcBorders>
            <w:shd w:val="clear" w:color="auto" w:fill="auto"/>
            <w:vAlign w:val="center"/>
          </w:tcPr>
          <w:p w14:paraId="2D3A6141">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 xml:space="preserve">    </w:t>
            </w:r>
          </w:p>
        </w:tc>
        <w:tc>
          <w:tcPr>
            <w:tcW w:w="2750" w:type="dxa"/>
            <w:tcBorders>
              <w:top w:val="single" w:color="auto" w:sz="4" w:space="0"/>
              <w:left w:val="single" w:color="auto" w:sz="4" w:space="0"/>
              <w:bottom w:val="single" w:color="auto" w:sz="4" w:space="0"/>
              <w:right w:val="single" w:color="auto" w:sz="4" w:space="0"/>
            </w:tcBorders>
            <w:shd w:val="clear" w:color="auto" w:fill="auto"/>
            <w:vAlign w:val="center"/>
          </w:tcPr>
          <w:p w14:paraId="4C32E9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反映本项目补贴工作完成及时情况</w:t>
            </w:r>
          </w:p>
        </w:tc>
        <w:tc>
          <w:tcPr>
            <w:tcW w:w="3081" w:type="dxa"/>
            <w:tcBorders>
              <w:top w:val="single" w:color="auto" w:sz="4" w:space="0"/>
              <w:left w:val="single" w:color="auto" w:sz="4" w:space="0"/>
              <w:bottom w:val="single" w:color="auto" w:sz="4" w:space="0"/>
              <w:right w:val="single" w:color="auto" w:sz="4" w:space="0"/>
            </w:tcBorders>
            <w:shd w:val="clear" w:color="auto" w:fill="auto"/>
            <w:vAlign w:val="center"/>
          </w:tcPr>
          <w:p w14:paraId="0F5A53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评分标准：本项目</w:t>
            </w:r>
            <w:r>
              <w:rPr>
                <w:rFonts w:hint="eastAsia" w:ascii="宋体" w:hAnsi="宋体" w:cs="宋体"/>
                <w:i w:val="0"/>
                <w:iCs w:val="0"/>
                <w:color w:val="000000"/>
                <w:kern w:val="0"/>
                <w:sz w:val="20"/>
                <w:szCs w:val="20"/>
                <w:u w:val="none"/>
                <w:lang w:val="en-US" w:eastAsia="zh-CN" w:bidi="ar"/>
              </w:rPr>
              <w:t>于</w:t>
            </w:r>
            <w:r>
              <w:rPr>
                <w:rFonts w:hint="eastAsia" w:ascii="宋体" w:hAnsi="宋体" w:eastAsia="宋体" w:cs="宋体"/>
                <w:i w:val="0"/>
                <w:iCs w:val="0"/>
                <w:color w:val="000000"/>
                <w:kern w:val="0"/>
                <w:sz w:val="20"/>
                <w:szCs w:val="20"/>
                <w:u w:val="none"/>
                <w:lang w:val="en-US" w:eastAsia="zh-CN" w:bidi="ar"/>
              </w:rPr>
              <w:t>2026</w:t>
            </w:r>
            <w:r>
              <w:rPr>
                <w:rFonts w:hint="eastAsia" w:ascii="宋体" w:hAnsi="宋体" w:cs="宋体"/>
                <w:i w:val="0"/>
                <w:iCs w:val="0"/>
                <w:color w:val="000000"/>
                <w:kern w:val="0"/>
                <w:sz w:val="20"/>
                <w:szCs w:val="20"/>
                <w:u w:val="none"/>
                <w:lang w:val="en-US" w:eastAsia="zh-CN" w:bidi="ar"/>
              </w:rPr>
              <w:t>年</w:t>
            </w: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月</w:t>
            </w:r>
            <w:r>
              <w:rPr>
                <w:rFonts w:hint="eastAsia" w:ascii="宋体" w:hAnsi="宋体" w:eastAsia="宋体" w:cs="宋体"/>
                <w:i w:val="0"/>
                <w:iCs w:val="0"/>
                <w:color w:val="000000"/>
                <w:kern w:val="0"/>
                <w:sz w:val="20"/>
                <w:szCs w:val="20"/>
                <w:u w:val="none"/>
                <w:lang w:val="en-US" w:eastAsia="zh-CN" w:bidi="ar"/>
              </w:rPr>
              <w:t>31</w:t>
            </w:r>
            <w:r>
              <w:rPr>
                <w:rFonts w:hint="eastAsia" w:ascii="宋体" w:hAnsi="宋体" w:cs="宋体"/>
                <w:i w:val="0"/>
                <w:iCs w:val="0"/>
                <w:color w:val="000000"/>
                <w:kern w:val="0"/>
                <w:sz w:val="20"/>
                <w:szCs w:val="20"/>
                <w:u w:val="none"/>
                <w:lang w:val="en-US" w:eastAsia="zh-CN" w:bidi="ar"/>
              </w:rPr>
              <w:t>日</w:t>
            </w:r>
            <w:r>
              <w:rPr>
                <w:rFonts w:hint="eastAsia" w:ascii="宋体" w:hAnsi="宋体" w:eastAsia="宋体" w:cs="宋体"/>
                <w:i w:val="0"/>
                <w:iCs w:val="0"/>
                <w:color w:val="000000"/>
                <w:kern w:val="0"/>
                <w:sz w:val="20"/>
                <w:szCs w:val="20"/>
                <w:u w:val="none"/>
                <w:lang w:val="en-US" w:eastAsia="zh-CN" w:bidi="ar"/>
              </w:rPr>
              <w:t>前完成</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及时，得满分，否则不得分。</w:t>
            </w:r>
          </w:p>
        </w:tc>
      </w:tr>
      <w:tr w14:paraId="66C73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5" w:hRule="atLeast"/>
        </w:trPr>
        <w:tc>
          <w:tcPr>
            <w:tcW w:w="1326" w:type="dxa"/>
            <w:vMerge w:val="continue"/>
            <w:tcBorders>
              <w:left w:val="single" w:color="auto" w:sz="4" w:space="0"/>
              <w:right w:val="single" w:color="auto" w:sz="4" w:space="0"/>
            </w:tcBorders>
            <w:shd w:val="clear" w:color="auto" w:fill="auto"/>
            <w:vAlign w:val="center"/>
          </w:tcPr>
          <w:p w14:paraId="7F733796">
            <w:pPr>
              <w:jc w:val="center"/>
              <w:rPr>
                <w:rFonts w:hint="eastAsia" w:ascii="宋体" w:hAnsi="宋体" w:eastAsia="宋体" w:cs="宋体"/>
                <w:b/>
                <w:bCs/>
                <w:i w:val="0"/>
                <w:iCs w:val="0"/>
                <w:color w:val="000000"/>
                <w:sz w:val="20"/>
                <w:szCs w:val="20"/>
                <w:u w:val="none"/>
              </w:rPr>
            </w:pPr>
          </w:p>
        </w:tc>
        <w:tc>
          <w:tcPr>
            <w:tcW w:w="161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DB5B5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2409" w:type="dxa"/>
            <w:tcBorders>
              <w:top w:val="single" w:color="auto" w:sz="4" w:space="0"/>
              <w:left w:val="single" w:color="auto" w:sz="4" w:space="0"/>
              <w:bottom w:val="single" w:color="auto" w:sz="4" w:space="0"/>
              <w:right w:val="single" w:color="auto" w:sz="4" w:space="0"/>
            </w:tcBorders>
            <w:shd w:val="clear" w:color="auto" w:fill="FFFFFF"/>
            <w:vAlign w:val="center"/>
          </w:tcPr>
          <w:p w14:paraId="17073E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项目或定额成本控制率</w:t>
            </w:r>
          </w:p>
        </w:tc>
        <w:tc>
          <w:tcPr>
            <w:tcW w:w="1241" w:type="dxa"/>
            <w:tcBorders>
              <w:top w:val="single" w:color="auto" w:sz="4" w:space="0"/>
              <w:left w:val="single" w:color="auto" w:sz="4" w:space="0"/>
              <w:bottom w:val="single" w:color="auto" w:sz="4" w:space="0"/>
              <w:right w:val="single" w:color="auto" w:sz="4" w:space="0"/>
            </w:tcBorders>
            <w:shd w:val="clear" w:color="auto" w:fill="FFFFFF"/>
            <w:vAlign w:val="center"/>
          </w:tcPr>
          <w:p w14:paraId="113199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36" w:type="dxa"/>
            <w:tcBorders>
              <w:top w:val="single" w:color="auto" w:sz="4" w:space="0"/>
              <w:left w:val="single" w:color="auto" w:sz="4" w:space="0"/>
              <w:bottom w:val="single" w:color="auto" w:sz="4" w:space="0"/>
              <w:right w:val="single" w:color="auto" w:sz="4" w:space="0"/>
            </w:tcBorders>
            <w:shd w:val="clear" w:color="auto" w:fill="FFFFFF"/>
            <w:vAlign w:val="center"/>
          </w:tcPr>
          <w:p w14:paraId="687694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459" w:type="dxa"/>
            <w:tcBorders>
              <w:top w:val="single" w:color="auto" w:sz="4" w:space="0"/>
              <w:left w:val="single" w:color="auto" w:sz="4" w:space="0"/>
              <w:bottom w:val="single" w:color="auto" w:sz="4" w:space="0"/>
              <w:right w:val="single" w:color="auto" w:sz="4" w:space="0"/>
            </w:tcBorders>
            <w:shd w:val="clear" w:color="auto" w:fill="FFFFFF"/>
            <w:vAlign w:val="center"/>
          </w:tcPr>
          <w:p w14:paraId="455559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750" w:type="dxa"/>
            <w:tcBorders>
              <w:top w:val="single" w:color="auto" w:sz="4" w:space="0"/>
              <w:left w:val="single" w:color="auto" w:sz="4" w:space="0"/>
              <w:bottom w:val="single" w:color="auto" w:sz="4" w:space="0"/>
              <w:right w:val="single" w:color="auto" w:sz="4" w:space="0"/>
            </w:tcBorders>
            <w:shd w:val="clear" w:color="auto" w:fill="FFFFFF"/>
            <w:vAlign w:val="center"/>
          </w:tcPr>
          <w:p w14:paraId="5DB852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反映本项目总成本控制情况</w:t>
            </w:r>
          </w:p>
        </w:tc>
        <w:tc>
          <w:tcPr>
            <w:tcW w:w="3081" w:type="dxa"/>
            <w:tcBorders>
              <w:top w:val="single" w:color="auto" w:sz="4" w:space="0"/>
              <w:left w:val="single" w:color="auto" w:sz="4" w:space="0"/>
              <w:bottom w:val="single" w:color="auto" w:sz="4" w:space="0"/>
              <w:right w:val="single" w:color="auto" w:sz="4" w:space="0"/>
            </w:tcBorders>
            <w:shd w:val="clear" w:color="auto" w:fill="FFFFFF"/>
            <w:vAlign w:val="center"/>
          </w:tcPr>
          <w:p w14:paraId="7D6351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评分标准：定额成本控制率≤100%，得满分，否则不得分。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定额成本控制率=本项目年度执行数/本项目总预算数</w:t>
            </w:r>
          </w:p>
        </w:tc>
      </w:tr>
      <w:tr w14:paraId="6B68C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5" w:hRule="atLeast"/>
        </w:trPr>
        <w:tc>
          <w:tcPr>
            <w:tcW w:w="1326" w:type="dxa"/>
            <w:vMerge w:val="continue"/>
            <w:tcBorders>
              <w:left w:val="single" w:color="auto" w:sz="4" w:space="0"/>
              <w:bottom w:val="single" w:color="auto" w:sz="4" w:space="0"/>
              <w:right w:val="single" w:color="auto" w:sz="4" w:space="0"/>
            </w:tcBorders>
            <w:shd w:val="clear" w:color="auto" w:fill="auto"/>
            <w:vAlign w:val="center"/>
          </w:tcPr>
          <w:p w14:paraId="5FBBB314">
            <w:pPr>
              <w:jc w:val="center"/>
              <w:rPr>
                <w:rFonts w:hint="eastAsia" w:ascii="宋体" w:hAnsi="宋体" w:eastAsia="宋体" w:cs="宋体"/>
                <w:b/>
                <w:bCs/>
                <w:i w:val="0"/>
                <w:iCs w:val="0"/>
                <w:color w:val="000000"/>
                <w:sz w:val="20"/>
                <w:szCs w:val="20"/>
                <w:u w:val="none"/>
              </w:rPr>
            </w:pPr>
          </w:p>
        </w:tc>
        <w:tc>
          <w:tcPr>
            <w:tcW w:w="16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F0CC6CA">
            <w:pPr>
              <w:jc w:val="center"/>
              <w:rPr>
                <w:rFonts w:hint="eastAsia" w:ascii="宋体" w:hAnsi="宋体" w:eastAsia="宋体" w:cs="宋体"/>
                <w:i w:val="0"/>
                <w:iCs w:val="0"/>
                <w:color w:val="000000"/>
                <w:sz w:val="20"/>
                <w:szCs w:val="20"/>
                <w:u w:val="none"/>
              </w:rPr>
            </w:pPr>
          </w:p>
        </w:tc>
        <w:tc>
          <w:tcPr>
            <w:tcW w:w="2409" w:type="dxa"/>
            <w:tcBorders>
              <w:top w:val="single" w:color="auto" w:sz="4" w:space="0"/>
              <w:left w:val="single" w:color="auto" w:sz="4" w:space="0"/>
              <w:bottom w:val="single" w:color="auto" w:sz="4" w:space="0"/>
              <w:right w:val="single" w:color="auto" w:sz="4" w:space="0"/>
            </w:tcBorders>
            <w:shd w:val="clear" w:color="auto" w:fill="auto"/>
            <w:vAlign w:val="center"/>
          </w:tcPr>
          <w:p w14:paraId="40B268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补贴标准</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1D45965F">
            <w:pPr>
              <w:keepNext w:val="0"/>
              <w:keepLines w:val="0"/>
              <w:widowControl/>
              <w:suppressLineNumbers w:val="0"/>
              <w:jc w:val="center"/>
              <w:textAlignment w:val="center"/>
              <w:rPr>
                <w:rFonts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7143E3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459" w:type="dxa"/>
            <w:tcBorders>
              <w:top w:val="single" w:color="auto" w:sz="4" w:space="0"/>
              <w:left w:val="single" w:color="auto" w:sz="4" w:space="0"/>
              <w:bottom w:val="single" w:color="auto" w:sz="4" w:space="0"/>
              <w:right w:val="single" w:color="auto" w:sz="4" w:space="0"/>
            </w:tcBorders>
            <w:shd w:val="clear" w:color="auto" w:fill="auto"/>
            <w:vAlign w:val="center"/>
          </w:tcPr>
          <w:p w14:paraId="030F20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元/天</w:t>
            </w:r>
          </w:p>
        </w:tc>
        <w:tc>
          <w:tcPr>
            <w:tcW w:w="2750" w:type="dxa"/>
            <w:tcBorders>
              <w:top w:val="single" w:color="auto" w:sz="4" w:space="0"/>
              <w:left w:val="single" w:color="auto" w:sz="4" w:space="0"/>
              <w:bottom w:val="single" w:color="auto" w:sz="4" w:space="0"/>
              <w:right w:val="single" w:color="auto" w:sz="4" w:space="0"/>
            </w:tcBorders>
            <w:shd w:val="clear" w:color="auto" w:fill="FFFFFF"/>
            <w:vAlign w:val="center"/>
          </w:tcPr>
          <w:p w14:paraId="7FE2D5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本级财政保障5元/生/天</w:t>
            </w:r>
          </w:p>
        </w:tc>
        <w:tc>
          <w:tcPr>
            <w:tcW w:w="3081" w:type="dxa"/>
            <w:tcBorders>
              <w:top w:val="single" w:color="auto" w:sz="4" w:space="0"/>
              <w:left w:val="single" w:color="auto" w:sz="4" w:space="0"/>
              <w:bottom w:val="single" w:color="auto" w:sz="4" w:space="0"/>
              <w:right w:val="single" w:color="auto" w:sz="4" w:space="0"/>
            </w:tcBorders>
            <w:shd w:val="clear" w:color="auto" w:fill="auto"/>
            <w:vAlign w:val="center"/>
          </w:tcPr>
          <w:p w14:paraId="69AF39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补贴标准：补贴标准=5元/天，得满分，否则不得分。</w:t>
            </w:r>
          </w:p>
        </w:tc>
      </w:tr>
      <w:tr w14:paraId="18FE5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3" w:hRule="atLeast"/>
        </w:trPr>
        <w:tc>
          <w:tcPr>
            <w:tcW w:w="132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755FD0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效益指标</w:t>
            </w:r>
          </w:p>
        </w:tc>
        <w:tc>
          <w:tcPr>
            <w:tcW w:w="161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C87A1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2409" w:type="dxa"/>
            <w:tcBorders>
              <w:top w:val="single" w:color="auto" w:sz="4" w:space="0"/>
              <w:left w:val="single" w:color="auto" w:sz="4" w:space="0"/>
              <w:bottom w:val="single" w:color="auto" w:sz="4" w:space="0"/>
              <w:right w:val="single" w:color="auto" w:sz="4" w:space="0"/>
            </w:tcBorders>
            <w:shd w:val="clear" w:color="auto" w:fill="auto"/>
            <w:vAlign w:val="center"/>
          </w:tcPr>
          <w:p w14:paraId="2009F3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食品安全事故发生率</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424ED57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53850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459" w:type="dxa"/>
            <w:tcBorders>
              <w:top w:val="single" w:color="auto" w:sz="4" w:space="0"/>
              <w:left w:val="single" w:color="auto" w:sz="4" w:space="0"/>
              <w:bottom w:val="single" w:color="auto" w:sz="4" w:space="0"/>
              <w:right w:val="single" w:color="auto" w:sz="4" w:space="0"/>
            </w:tcBorders>
            <w:shd w:val="clear" w:color="auto" w:fill="auto"/>
            <w:vAlign w:val="center"/>
          </w:tcPr>
          <w:p w14:paraId="5FF77C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750" w:type="dxa"/>
            <w:tcBorders>
              <w:top w:val="single" w:color="auto" w:sz="4" w:space="0"/>
              <w:left w:val="single" w:color="auto" w:sz="4" w:space="0"/>
              <w:bottom w:val="single" w:color="auto" w:sz="4" w:space="0"/>
              <w:right w:val="single" w:color="auto" w:sz="4" w:space="0"/>
            </w:tcBorders>
            <w:shd w:val="clear" w:color="auto" w:fill="auto"/>
            <w:vAlign w:val="center"/>
          </w:tcPr>
          <w:p w14:paraId="29961D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反映本项目在实施过程中。发生食品安全事故情况。</w:t>
            </w:r>
          </w:p>
        </w:tc>
        <w:tc>
          <w:tcPr>
            <w:tcW w:w="3081" w:type="dxa"/>
            <w:tcBorders>
              <w:top w:val="single" w:color="auto" w:sz="4" w:space="0"/>
              <w:left w:val="single" w:color="auto" w:sz="4" w:space="0"/>
              <w:bottom w:val="single" w:color="auto" w:sz="4" w:space="0"/>
              <w:right w:val="single" w:color="auto" w:sz="4" w:space="0"/>
            </w:tcBorders>
            <w:shd w:val="clear" w:color="auto" w:fill="auto"/>
            <w:vAlign w:val="center"/>
          </w:tcPr>
          <w:p w14:paraId="43B01D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评分标准：食品安全事故发生率=0%，得满分，否则不得分。</w:t>
            </w:r>
          </w:p>
        </w:tc>
      </w:tr>
      <w:tr w14:paraId="2EA34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8" w:hRule="atLeast"/>
        </w:trPr>
        <w:tc>
          <w:tcPr>
            <w:tcW w:w="13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F3B7C8">
            <w:pPr>
              <w:jc w:val="center"/>
              <w:rPr>
                <w:rFonts w:hint="eastAsia" w:ascii="宋体" w:hAnsi="宋体" w:eastAsia="宋体" w:cs="宋体"/>
                <w:b/>
                <w:bCs/>
                <w:i w:val="0"/>
                <w:iCs w:val="0"/>
                <w:color w:val="000000"/>
                <w:sz w:val="20"/>
                <w:szCs w:val="20"/>
                <w:u w:val="none"/>
              </w:rPr>
            </w:pPr>
          </w:p>
        </w:tc>
        <w:tc>
          <w:tcPr>
            <w:tcW w:w="16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6353FB0">
            <w:pPr>
              <w:rPr>
                <w:rFonts w:hint="eastAsia" w:ascii="宋体" w:hAnsi="宋体" w:eastAsia="宋体" w:cs="宋体"/>
                <w:i w:val="0"/>
                <w:iCs w:val="0"/>
                <w:color w:val="000000"/>
                <w:sz w:val="20"/>
                <w:szCs w:val="20"/>
                <w:u w:val="none"/>
              </w:rPr>
            </w:pPr>
          </w:p>
        </w:tc>
        <w:tc>
          <w:tcPr>
            <w:tcW w:w="2409" w:type="dxa"/>
            <w:tcBorders>
              <w:top w:val="single" w:color="auto" w:sz="4" w:space="0"/>
              <w:left w:val="single" w:color="auto" w:sz="4" w:space="0"/>
              <w:bottom w:val="single" w:color="auto" w:sz="4" w:space="0"/>
              <w:right w:val="single" w:color="auto" w:sz="4" w:space="0"/>
            </w:tcBorders>
            <w:shd w:val="clear" w:color="auto" w:fill="auto"/>
            <w:vAlign w:val="center"/>
          </w:tcPr>
          <w:p w14:paraId="56A76D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受益农村学前教育儿童数</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002D19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78E406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5702</w:t>
            </w:r>
          </w:p>
        </w:tc>
        <w:tc>
          <w:tcPr>
            <w:tcW w:w="1459" w:type="dxa"/>
            <w:tcBorders>
              <w:top w:val="single" w:color="auto" w:sz="4" w:space="0"/>
              <w:left w:val="single" w:color="auto" w:sz="4" w:space="0"/>
              <w:bottom w:val="single" w:color="auto" w:sz="4" w:space="0"/>
              <w:right w:val="single" w:color="auto" w:sz="4" w:space="0"/>
            </w:tcBorders>
            <w:shd w:val="clear" w:color="auto" w:fill="auto"/>
            <w:vAlign w:val="center"/>
          </w:tcPr>
          <w:p w14:paraId="4C3A1D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w:t>
            </w:r>
          </w:p>
        </w:tc>
        <w:tc>
          <w:tcPr>
            <w:tcW w:w="2750" w:type="dxa"/>
            <w:tcBorders>
              <w:top w:val="single" w:color="auto" w:sz="4" w:space="0"/>
              <w:left w:val="single" w:color="auto" w:sz="4" w:space="0"/>
              <w:bottom w:val="single" w:color="auto" w:sz="4" w:space="0"/>
              <w:right w:val="single" w:color="auto" w:sz="4" w:space="0"/>
            </w:tcBorders>
            <w:shd w:val="clear" w:color="auto" w:fill="auto"/>
            <w:vAlign w:val="center"/>
          </w:tcPr>
          <w:p w14:paraId="31CB61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反映本项目实施后，受益农村学前教育儿童</w:t>
            </w:r>
            <w:r>
              <w:rPr>
                <w:rFonts w:hint="eastAsia" w:ascii="宋体" w:hAnsi="宋体" w:cs="宋体"/>
                <w:i w:val="0"/>
                <w:iCs w:val="0"/>
                <w:color w:val="000000"/>
                <w:kern w:val="0"/>
                <w:sz w:val="20"/>
                <w:szCs w:val="20"/>
                <w:u w:val="none"/>
                <w:lang w:val="en-US" w:eastAsia="zh-CN" w:bidi="ar"/>
              </w:rPr>
              <w:t>受</w:t>
            </w:r>
            <w:r>
              <w:rPr>
                <w:rFonts w:hint="eastAsia" w:ascii="宋体" w:hAnsi="宋体" w:eastAsia="宋体" w:cs="宋体"/>
                <w:i w:val="0"/>
                <w:iCs w:val="0"/>
                <w:color w:val="000000"/>
                <w:kern w:val="0"/>
                <w:sz w:val="20"/>
                <w:szCs w:val="20"/>
                <w:u w:val="none"/>
                <w:lang w:val="en-US" w:eastAsia="zh-CN" w:bidi="ar"/>
              </w:rPr>
              <w:t>益情况。</w:t>
            </w:r>
          </w:p>
        </w:tc>
        <w:tc>
          <w:tcPr>
            <w:tcW w:w="3081" w:type="dxa"/>
            <w:tcBorders>
              <w:top w:val="single" w:color="auto" w:sz="4" w:space="0"/>
              <w:left w:val="single" w:color="auto" w:sz="4" w:space="0"/>
              <w:bottom w:val="single" w:color="auto" w:sz="4" w:space="0"/>
              <w:right w:val="single" w:color="auto" w:sz="4" w:space="0"/>
            </w:tcBorders>
            <w:shd w:val="clear" w:color="auto" w:fill="auto"/>
            <w:vAlign w:val="center"/>
          </w:tcPr>
          <w:p w14:paraId="1AB8D5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评分标准：受益农村学前教育儿童数≥5702人，得满分，每少100人扣1分，扣完为止。</w:t>
            </w:r>
          </w:p>
        </w:tc>
      </w:tr>
      <w:tr w14:paraId="2B557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7" w:hRule="atLeast"/>
        </w:trPr>
        <w:tc>
          <w:tcPr>
            <w:tcW w:w="1326" w:type="dxa"/>
            <w:tcBorders>
              <w:top w:val="single" w:color="auto" w:sz="4" w:space="0"/>
              <w:left w:val="single" w:color="auto" w:sz="4" w:space="0"/>
              <w:bottom w:val="single" w:color="auto" w:sz="4" w:space="0"/>
              <w:right w:val="single" w:color="auto" w:sz="4" w:space="0"/>
            </w:tcBorders>
            <w:shd w:val="clear" w:color="auto" w:fill="auto"/>
            <w:vAlign w:val="center"/>
          </w:tcPr>
          <w:p w14:paraId="18297C3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满意度指标</w:t>
            </w:r>
          </w:p>
        </w:tc>
        <w:tc>
          <w:tcPr>
            <w:tcW w:w="1612" w:type="dxa"/>
            <w:tcBorders>
              <w:top w:val="single" w:color="auto" w:sz="4" w:space="0"/>
              <w:left w:val="single" w:color="auto" w:sz="4" w:space="0"/>
              <w:bottom w:val="single" w:color="auto" w:sz="4" w:space="0"/>
              <w:right w:val="single" w:color="auto" w:sz="4" w:space="0"/>
            </w:tcBorders>
            <w:shd w:val="clear" w:color="auto" w:fill="auto"/>
            <w:vAlign w:val="center"/>
          </w:tcPr>
          <w:p w14:paraId="515774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2409" w:type="dxa"/>
            <w:tcBorders>
              <w:top w:val="single" w:color="auto" w:sz="4" w:space="0"/>
              <w:left w:val="single" w:color="auto" w:sz="4" w:space="0"/>
              <w:bottom w:val="single" w:color="auto" w:sz="4" w:space="0"/>
              <w:right w:val="single" w:color="auto" w:sz="4" w:space="0"/>
            </w:tcBorders>
            <w:shd w:val="clear" w:color="auto" w:fill="auto"/>
            <w:vAlign w:val="center"/>
          </w:tcPr>
          <w:p w14:paraId="49DE8D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家长满意度</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4B644A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16EC83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1459" w:type="dxa"/>
            <w:tcBorders>
              <w:top w:val="single" w:color="auto" w:sz="4" w:space="0"/>
              <w:left w:val="single" w:color="auto" w:sz="4" w:space="0"/>
              <w:bottom w:val="single" w:color="auto" w:sz="4" w:space="0"/>
              <w:right w:val="single" w:color="auto" w:sz="4" w:space="0"/>
            </w:tcBorders>
            <w:shd w:val="clear" w:color="auto" w:fill="auto"/>
            <w:vAlign w:val="center"/>
          </w:tcPr>
          <w:p w14:paraId="4CF9EF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750" w:type="dxa"/>
            <w:tcBorders>
              <w:top w:val="single" w:color="auto" w:sz="4" w:space="0"/>
              <w:left w:val="single" w:color="auto" w:sz="4" w:space="0"/>
              <w:bottom w:val="single" w:color="auto" w:sz="4" w:space="0"/>
              <w:right w:val="single" w:color="auto" w:sz="4" w:space="0"/>
            </w:tcBorders>
            <w:shd w:val="clear" w:color="auto" w:fill="auto"/>
            <w:vAlign w:val="center"/>
          </w:tcPr>
          <w:p w14:paraId="749F7E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反映本项目实施后，家长对结果满意情况。</w:t>
            </w:r>
          </w:p>
        </w:tc>
        <w:tc>
          <w:tcPr>
            <w:tcW w:w="3081" w:type="dxa"/>
            <w:tcBorders>
              <w:top w:val="single" w:color="auto" w:sz="4" w:space="0"/>
              <w:left w:val="single" w:color="auto" w:sz="4" w:space="0"/>
              <w:bottom w:val="single" w:color="auto" w:sz="4" w:space="0"/>
              <w:right w:val="single" w:color="auto" w:sz="4" w:space="0"/>
            </w:tcBorders>
            <w:shd w:val="clear" w:color="auto" w:fill="auto"/>
            <w:vAlign w:val="center"/>
          </w:tcPr>
          <w:p w14:paraId="447949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评分标准：群众满意度≥90%，得满分，低于60%不得分。其他满意度得分=满意度*分值</w:t>
            </w:r>
          </w:p>
        </w:tc>
      </w:tr>
    </w:tbl>
    <w:p w14:paraId="28E885C0">
      <w:pPr>
        <w:keepNext w:val="0"/>
        <w:keepLines w:val="0"/>
        <w:pageBreakBefore w:val="0"/>
        <w:widowControl w:val="0"/>
        <w:kinsoku/>
        <w:wordWrap/>
        <w:overflowPunct/>
        <w:topLinePunct w:val="0"/>
        <w:autoSpaceDE/>
        <w:autoSpaceDN/>
        <w:bidi w:val="0"/>
        <w:adjustRightInd/>
        <w:spacing w:line="550" w:lineRule="exact"/>
        <w:jc w:val="center"/>
        <w:textAlignment w:val="auto"/>
        <w:rPr>
          <w:rFonts w:hint="eastAsia" w:ascii="微软雅黑" w:hAnsi="微软雅黑" w:eastAsia="微软雅黑" w:cs="微软雅黑"/>
          <w:bCs/>
          <w:sz w:val="44"/>
          <w:szCs w:val="44"/>
          <w:lang w:val="en-US" w:eastAsia="zh-CN"/>
        </w:rPr>
      </w:pPr>
    </w:p>
    <w:p w14:paraId="04A29108">
      <w:pPr>
        <w:rPr>
          <w:rFonts w:hint="eastAsia" w:ascii="微软雅黑" w:hAnsi="微软雅黑" w:eastAsia="微软雅黑" w:cs="微软雅黑"/>
          <w:bCs/>
          <w:sz w:val="44"/>
          <w:szCs w:val="44"/>
          <w:highlight w:val="none"/>
          <w:lang w:val="en-US" w:eastAsia="zh-CN"/>
        </w:rPr>
      </w:pPr>
      <w:r>
        <w:rPr>
          <w:rFonts w:hint="eastAsia" w:ascii="微软雅黑" w:hAnsi="微软雅黑" w:eastAsia="微软雅黑" w:cs="微软雅黑"/>
          <w:bCs/>
          <w:sz w:val="44"/>
          <w:szCs w:val="44"/>
          <w:highlight w:val="none"/>
          <w:lang w:val="en-US" w:eastAsia="zh-CN"/>
        </w:rPr>
        <w:br w:type="page"/>
      </w:r>
    </w:p>
    <w:p w14:paraId="5EDC2F38">
      <w:pPr>
        <w:keepNext w:val="0"/>
        <w:keepLines w:val="0"/>
        <w:pageBreakBefore w:val="0"/>
        <w:widowControl w:val="0"/>
        <w:kinsoku/>
        <w:wordWrap/>
        <w:overflowPunct/>
        <w:topLinePunct w:val="0"/>
        <w:autoSpaceDE/>
        <w:autoSpaceDN/>
        <w:bidi w:val="0"/>
        <w:adjustRightInd/>
        <w:spacing w:line="550" w:lineRule="exact"/>
        <w:jc w:val="center"/>
        <w:textAlignment w:val="auto"/>
        <w:rPr>
          <w:rFonts w:hint="default" w:ascii="微软雅黑" w:hAnsi="微软雅黑" w:eastAsia="微软雅黑" w:cs="微软雅黑"/>
          <w:bCs/>
          <w:sz w:val="44"/>
          <w:szCs w:val="44"/>
          <w:highlight w:val="none"/>
          <w:lang w:val="en-US" w:eastAsia="zh-CN"/>
        </w:rPr>
      </w:pPr>
      <w:r>
        <w:rPr>
          <w:rFonts w:hint="eastAsia" w:ascii="微软雅黑" w:hAnsi="微软雅黑" w:eastAsia="微软雅黑" w:cs="微软雅黑"/>
          <w:bCs/>
          <w:sz w:val="44"/>
          <w:szCs w:val="44"/>
          <w:highlight w:val="none"/>
          <w:lang w:val="en-US" w:eastAsia="zh-CN"/>
        </w:rPr>
        <w:t>项目3：2024年贵安新区“粮+菜”示范基地建设资金项目</w:t>
      </w:r>
    </w:p>
    <w:p w14:paraId="16164235">
      <w:pPr>
        <w:keepNext w:val="0"/>
        <w:keepLines w:val="0"/>
        <w:pageBreakBefore w:val="0"/>
        <w:widowControl w:val="0"/>
        <w:kinsoku/>
        <w:wordWrap/>
        <w:overflowPunct/>
        <w:topLinePunct w:val="0"/>
        <w:autoSpaceDE/>
        <w:autoSpaceDN/>
        <w:bidi w:val="0"/>
        <w:spacing w:line="560" w:lineRule="exact"/>
        <w:jc w:val="center"/>
        <w:textAlignment w:val="auto"/>
        <w:rPr>
          <w:rFonts w:hint="eastAsia" w:ascii="楷体_GB2312" w:eastAsia="楷体_GB2312" w:cs="楷体_GB2312"/>
          <w:color w:val="000000" w:themeColor="text1"/>
          <w:sz w:val="32"/>
          <w:szCs w:val="32"/>
          <w:highlight w:val="none"/>
          <w14:textFill>
            <w14:solidFill>
              <w14:schemeClr w14:val="tx1"/>
            </w14:solidFill>
          </w14:textFill>
        </w:rPr>
      </w:pPr>
      <w:r>
        <w:rPr>
          <w:rFonts w:hint="eastAsia" w:ascii="楷体_GB2312" w:eastAsia="楷体_GB2312" w:cs="楷体_GB2312"/>
          <w:color w:val="000000" w:themeColor="text1"/>
          <w:sz w:val="32"/>
          <w:szCs w:val="32"/>
          <w:highlight w:val="none"/>
          <w14:textFill>
            <w14:solidFill>
              <w14:schemeClr w14:val="tx1"/>
            </w14:solidFill>
          </w14:textFill>
        </w:rPr>
        <w:t>（</w:t>
      </w:r>
      <w:r>
        <w:rPr>
          <w:rFonts w:hint="eastAsia" w:ascii="楷体_GB2312" w:eastAsia="楷体_GB2312" w:cs="楷体_GB2312"/>
          <w:color w:val="000000" w:themeColor="text1"/>
          <w:sz w:val="32"/>
          <w:szCs w:val="32"/>
          <w:highlight w:val="none"/>
          <w:lang w:eastAsia="zh-CN"/>
          <w14:textFill>
            <w14:solidFill>
              <w14:schemeClr w14:val="tx1"/>
            </w14:solidFill>
          </w14:textFill>
        </w:rPr>
        <w:t>贵州</w:t>
      </w:r>
      <w:r>
        <w:rPr>
          <w:rFonts w:hint="eastAsia" w:ascii="楷体_GB2312" w:eastAsia="楷体_GB2312" w:cs="楷体_GB2312"/>
          <w:color w:val="000000" w:themeColor="text1"/>
          <w:sz w:val="32"/>
          <w:szCs w:val="32"/>
          <w:highlight w:val="none"/>
          <w:lang w:val="en-US" w:eastAsia="zh-CN"/>
          <w14:textFill>
            <w14:solidFill>
              <w14:schemeClr w14:val="tx1"/>
            </w14:solidFill>
          </w14:textFill>
        </w:rPr>
        <w:t>贵安新区统筹城乡发展局</w:t>
      </w:r>
      <w:r>
        <w:rPr>
          <w:rFonts w:hint="eastAsia" w:ascii="楷体_GB2312" w:eastAsia="楷体_GB2312" w:cs="楷体_GB2312"/>
          <w:color w:val="000000" w:themeColor="text1"/>
          <w:sz w:val="32"/>
          <w:szCs w:val="32"/>
          <w:highlight w:val="none"/>
          <w14:textFill>
            <w14:solidFill>
              <w14:schemeClr w14:val="tx1"/>
            </w14:solidFill>
          </w14:textFill>
        </w:rPr>
        <w:t>）</w:t>
      </w:r>
    </w:p>
    <w:p w14:paraId="25D89056">
      <w:pPr>
        <w:spacing w:line="560" w:lineRule="exact"/>
        <w:jc w:val="center"/>
        <w:rPr>
          <w:rFonts w:ascii="楷体_GB2312" w:hAnsi="楷体_GB2312" w:eastAsia="楷体_GB2312" w:cs="楷体_GB2312"/>
          <w:color w:val="000000" w:themeColor="text1"/>
          <w:sz w:val="32"/>
          <w:szCs w:val="32"/>
          <w:highlight w:val="yellow"/>
          <w14:textFill>
            <w14:solidFill>
              <w14:schemeClr w14:val="tx1"/>
            </w14:solidFill>
          </w14:textFill>
        </w:rPr>
      </w:pPr>
    </w:p>
    <w:p w14:paraId="78AEFEBF">
      <w:pPr>
        <w:keepNext w:val="0"/>
        <w:keepLines w:val="0"/>
        <w:pageBreakBefore w:val="0"/>
        <w:widowControl w:val="0"/>
        <w:numPr>
          <w:ilvl w:val="0"/>
          <w:numId w:val="1"/>
        </w:numPr>
        <w:kinsoku/>
        <w:wordWrap/>
        <w:overflowPunct/>
        <w:topLinePunct w:val="0"/>
        <w:autoSpaceDE/>
        <w:autoSpaceDN/>
        <w:bidi w:val="0"/>
        <w:spacing w:line="560" w:lineRule="exact"/>
        <w:ind w:firstLine="644" w:firstLineChars="200"/>
        <w:textAlignment w:val="auto"/>
        <w:rPr>
          <w:rFonts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项目概述</w:t>
      </w:r>
    </w:p>
    <w:p w14:paraId="2F6CA856">
      <w:pPr>
        <w:keepNext w:val="0"/>
        <w:keepLines w:val="0"/>
        <w:pageBreakBefore w:val="0"/>
        <w:widowControl w:val="0"/>
        <w:kinsoku/>
        <w:wordWrap/>
        <w:overflowPunct/>
        <w:topLinePunct w:val="0"/>
        <w:autoSpaceDE/>
        <w:autoSpaceDN/>
        <w:bidi w:val="0"/>
        <w:spacing w:line="560" w:lineRule="exact"/>
        <w:ind w:left="0" w:firstLine="640"/>
        <w:textAlignment w:val="auto"/>
        <w:rPr>
          <w:rFonts w:asci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eastAsia="仿宋_GB2312" w:cs="仿宋_GB2312"/>
          <w:color w:val="000000" w:themeColor="text1"/>
          <w:sz w:val="32"/>
          <w:szCs w:val="32"/>
          <w:highlight w:val="none"/>
          <w:lang w:val="en-US" w:eastAsia="zh-CN"/>
          <w14:textFill>
            <w14:solidFill>
              <w14:schemeClr w14:val="tx1"/>
            </w14:solidFill>
          </w14:textFill>
        </w:rPr>
        <w:t>为进一步扩大冬季蔬菜栽培规模，提升栽培水平，提高耕地复种指数，推进蔬菜产业高质量发展，提高蔬菜自给率，促进产业结构优化和提质增效。该项目本级预算资金250万元纳入2025年新区本级财政预算安排，发</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展“粮+菜”示范基地建设2万亩；推广蚕豆、香葱、青菜、花菜、甘蓝等优良品种，实现蔬菜上市2.5万吨、产值5000万元以上。</w:t>
      </w:r>
    </w:p>
    <w:p w14:paraId="726D3B49">
      <w:pPr>
        <w:keepNext w:val="0"/>
        <w:keepLines w:val="0"/>
        <w:pageBreakBefore w:val="0"/>
        <w:widowControl w:val="0"/>
        <w:numPr>
          <w:ilvl w:val="0"/>
          <w:numId w:val="1"/>
        </w:numPr>
        <w:kinsoku/>
        <w:wordWrap/>
        <w:overflowPunct/>
        <w:topLinePunct w:val="0"/>
        <w:autoSpaceDE/>
        <w:autoSpaceDN/>
        <w:bidi w:val="0"/>
        <w:spacing w:line="560" w:lineRule="exact"/>
        <w:ind w:firstLine="644" w:firstLineChars="200"/>
        <w:textAlignment w:val="auto"/>
        <w:rPr>
          <w:rFonts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立项依据</w:t>
      </w:r>
    </w:p>
    <w:p w14:paraId="155907E4">
      <w:pPr>
        <w:pStyle w:val="5"/>
        <w:keepNext w:val="0"/>
        <w:keepLines w:val="0"/>
        <w:pageBreakBefore w:val="0"/>
        <w:widowControl w:val="0"/>
        <w:kinsoku/>
        <w:wordWrap/>
        <w:overflowPunct/>
        <w:topLinePunct w:val="0"/>
        <w:autoSpaceDE/>
        <w:autoSpaceDN/>
        <w:bidi w:val="0"/>
        <w:spacing w:after="0" w:afterLines="0" w:line="560" w:lineRule="exact"/>
        <w:ind w:left="0" w:firstLine="644" w:firstLineChars="200"/>
        <w:textAlignment w:val="auto"/>
        <w:rPr>
          <w:rFonts w:hint="eastAsia" w:ascii="仿宋_GB2312"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仿宋_GB2312" w:eastAsia="仿宋_GB2312" w:cs="仿宋_GB2312"/>
          <w:color w:val="000000" w:themeColor="text1"/>
          <w:kern w:val="2"/>
          <w:sz w:val="32"/>
          <w:szCs w:val="32"/>
          <w:highlight w:val="none"/>
          <w:lang w:val="en-US" w:eastAsia="zh-CN" w:bidi="ar-SA"/>
          <w14:textFill>
            <w14:solidFill>
              <w14:schemeClr w14:val="tx1"/>
            </w14:solidFill>
          </w14:textFill>
        </w:rPr>
        <w:t>以习近平新时代中国特色社会主义思想为指导，深入贯彻落实中央农村工作会议和中央一号文件精神，按照省委、省政府和市委、市政府粮食安全工作部署，围绕“种什么、怎么种、谁来种”的工作主线，明确撂荒地整治、新增耕地种植、冬闲土开发作为耕地保障，做好秋冬种与重要农产品供给，以“粮+菜”示范基地建设为抓手，强化良种良法、主体培育、产销对接，拓展新基地，巩固提升蔬菜基地生产水平，推动粮油和重要农产品供给向优质高效转型升级，确保重要农产品供给得到保障、产销平衡更加稳定。</w:t>
      </w:r>
    </w:p>
    <w:p w14:paraId="461FE01D">
      <w:pPr>
        <w:keepNext w:val="0"/>
        <w:keepLines w:val="0"/>
        <w:pageBreakBefore w:val="0"/>
        <w:widowControl w:val="0"/>
        <w:kinsoku/>
        <w:wordWrap/>
        <w:overflowPunct/>
        <w:topLinePunct w:val="0"/>
        <w:autoSpaceDE/>
        <w:autoSpaceDN/>
        <w:bidi w:val="0"/>
        <w:spacing w:line="560" w:lineRule="exact"/>
        <w:ind w:firstLine="644" w:firstLineChars="200"/>
        <w:textAlignment w:val="auto"/>
        <w:rPr>
          <w:rFonts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三、实施主体</w:t>
      </w:r>
    </w:p>
    <w:p w14:paraId="273E28C6">
      <w:pPr>
        <w:keepNext w:val="0"/>
        <w:keepLines w:val="0"/>
        <w:pageBreakBefore w:val="0"/>
        <w:widowControl w:val="0"/>
        <w:kinsoku/>
        <w:wordWrap/>
        <w:overflowPunct/>
        <w:topLinePunct w:val="0"/>
        <w:autoSpaceDE/>
        <w:autoSpaceDN/>
        <w:bidi w:val="0"/>
        <w:spacing w:line="560" w:lineRule="exact"/>
        <w:ind w:firstLine="644" w:firstLineChars="200"/>
        <w:textAlignment w:val="auto"/>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eastAsia="仿宋_GB2312" w:cs="仿宋_GB2312"/>
          <w:color w:val="000000" w:themeColor="text1"/>
          <w:kern w:val="2"/>
          <w:sz w:val="32"/>
          <w:szCs w:val="32"/>
          <w:highlight w:val="none"/>
          <w:lang w:val="en-US" w:eastAsia="zh-CN" w:bidi="ar-SA"/>
          <w14:textFill>
            <w14:solidFill>
              <w14:schemeClr w14:val="tx1"/>
            </w14:solidFill>
          </w14:textFill>
        </w:rPr>
        <w:t>贵州贵安新区统筹城乡发展局。</w:t>
      </w:r>
    </w:p>
    <w:p w14:paraId="08F3F8A3">
      <w:pPr>
        <w:keepNext w:val="0"/>
        <w:keepLines w:val="0"/>
        <w:pageBreakBefore w:val="0"/>
        <w:widowControl w:val="0"/>
        <w:kinsoku/>
        <w:wordWrap/>
        <w:overflowPunct/>
        <w:topLinePunct w:val="0"/>
        <w:autoSpaceDE/>
        <w:autoSpaceDN/>
        <w:bidi w:val="0"/>
        <w:spacing w:line="560" w:lineRule="exact"/>
        <w:ind w:firstLine="644" w:firstLineChars="200"/>
        <w:textAlignment w:val="auto"/>
        <w:rPr>
          <w:rFonts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四、实施方案</w:t>
      </w:r>
    </w:p>
    <w:p w14:paraId="4287AE8F">
      <w:pPr>
        <w:keepNext w:val="0"/>
        <w:keepLines w:val="0"/>
        <w:pageBreakBefore w:val="0"/>
        <w:widowControl w:val="0"/>
        <w:kinsoku/>
        <w:wordWrap/>
        <w:overflowPunct/>
        <w:topLinePunct w:val="0"/>
        <w:autoSpaceDE/>
        <w:autoSpaceDN/>
        <w:bidi w:val="0"/>
        <w:spacing w:line="560" w:lineRule="exact"/>
        <w:ind w:firstLine="644" w:firstLineChars="200"/>
        <w:textAlignment w:val="auto"/>
        <w:rPr>
          <w:rFonts w:hint="eastAsia" w:ascii="楷体_GB2312" w:eastAsia="楷体_GB2312"/>
          <w:color w:val="000000" w:themeColor="text1"/>
          <w:sz w:val="32"/>
          <w:szCs w:val="32"/>
          <w:highlight w:val="none"/>
          <w14:textFill>
            <w14:solidFill>
              <w14:schemeClr w14:val="tx1"/>
            </w14:solidFill>
          </w14:textFill>
        </w:rPr>
      </w:pPr>
      <w:r>
        <w:rPr>
          <w:rFonts w:hint="eastAsia" w:ascii="楷体_GB2312" w:eastAsia="楷体_GB2312"/>
          <w:color w:val="000000" w:themeColor="text1"/>
          <w:sz w:val="32"/>
          <w:szCs w:val="32"/>
          <w:highlight w:val="none"/>
          <w14:textFill>
            <w14:solidFill>
              <w14:schemeClr w14:val="tx1"/>
            </w14:solidFill>
          </w14:textFill>
        </w:rPr>
        <w:t>（一）项目可行性</w:t>
      </w:r>
    </w:p>
    <w:p w14:paraId="7033CA06">
      <w:pPr>
        <w:keepNext w:val="0"/>
        <w:keepLines w:val="0"/>
        <w:pageBreakBefore w:val="0"/>
        <w:widowControl w:val="0"/>
        <w:kinsoku/>
        <w:wordWrap/>
        <w:overflowPunct/>
        <w:topLinePunct w:val="0"/>
        <w:autoSpaceDE/>
        <w:autoSpaceDN/>
        <w:bidi w:val="0"/>
        <w:spacing w:line="560" w:lineRule="exact"/>
        <w:ind w:firstLine="644" w:firstLineChars="200"/>
        <w:textAlignment w:val="auto"/>
        <w:rPr>
          <w:rFonts w:hint="eastAsia" w:ascii="楷体_GB2312" w:eastAsia="楷体_GB2312"/>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围绕重要农产品供给根本目标，推广蚕豆、香葱、青菜、花菜、甘蓝等优良品种。高质量实现“粮+菜”一亩地两收益，提升耕地复种指数和土地产出，提升耕地质量，持续推进撂荒耕地和冬闲土地整治，开展高质高产高效耕地轮作技术模式</w:t>
      </w:r>
      <w:r>
        <w:rPr>
          <w:rFonts w:hint="eastAsia" w:ascii="仿宋_GB2312" w:eastAsia="仿宋_GB2312" w:cs="仿宋_GB2312"/>
          <w:color w:val="000000" w:themeColor="text1"/>
          <w:kern w:val="2"/>
          <w:sz w:val="32"/>
          <w:szCs w:val="32"/>
          <w:highlight w:val="none"/>
          <w:lang w:val="en-US" w:eastAsia="zh-CN" w:bidi="ar-SA"/>
          <w14:textFill>
            <w14:solidFill>
              <w14:schemeClr w14:val="tx1"/>
            </w14:solidFill>
          </w14:textFill>
        </w:rPr>
        <w:t>。</w:t>
      </w:r>
    </w:p>
    <w:p w14:paraId="28307E6B">
      <w:pPr>
        <w:keepNext w:val="0"/>
        <w:keepLines w:val="0"/>
        <w:pageBreakBefore w:val="0"/>
        <w:widowControl w:val="0"/>
        <w:kinsoku/>
        <w:wordWrap/>
        <w:overflowPunct/>
        <w:topLinePunct w:val="0"/>
        <w:autoSpaceDE/>
        <w:autoSpaceDN/>
        <w:bidi w:val="0"/>
        <w:spacing w:line="560" w:lineRule="exact"/>
        <w:ind w:firstLine="644" w:firstLineChars="200"/>
        <w:textAlignment w:val="auto"/>
        <w:rPr>
          <w:rFonts w:hint="eastAsia" w:ascii="楷体_GB2312" w:eastAsia="楷体_GB2312"/>
          <w:color w:val="000000" w:themeColor="text1"/>
          <w:sz w:val="32"/>
          <w:szCs w:val="32"/>
          <w:highlight w:val="none"/>
          <w14:textFill>
            <w14:solidFill>
              <w14:schemeClr w14:val="tx1"/>
            </w14:solidFill>
          </w14:textFill>
        </w:rPr>
      </w:pPr>
      <w:r>
        <w:rPr>
          <w:rFonts w:hint="eastAsia" w:ascii="楷体_GB2312" w:eastAsia="楷体_GB2312"/>
          <w:color w:val="000000" w:themeColor="text1"/>
          <w:sz w:val="32"/>
          <w:szCs w:val="32"/>
          <w:highlight w:val="none"/>
          <w:lang w:eastAsia="zh-CN"/>
          <w14:textFill>
            <w14:solidFill>
              <w14:schemeClr w14:val="tx1"/>
            </w14:solidFill>
          </w14:textFill>
        </w:rPr>
        <w:t>（二）</w:t>
      </w:r>
      <w:r>
        <w:rPr>
          <w:rFonts w:hint="eastAsia" w:ascii="楷体_GB2312" w:eastAsia="楷体_GB2312"/>
          <w:color w:val="000000" w:themeColor="text1"/>
          <w:sz w:val="32"/>
          <w:szCs w:val="32"/>
          <w:highlight w:val="none"/>
          <w14:textFill>
            <w14:solidFill>
              <w14:schemeClr w14:val="tx1"/>
            </w14:solidFill>
          </w14:textFill>
        </w:rPr>
        <w:t>实施方式</w:t>
      </w:r>
    </w:p>
    <w:p w14:paraId="6D3C92E0">
      <w:pPr>
        <w:keepNext w:val="0"/>
        <w:keepLines w:val="0"/>
        <w:pageBreakBefore w:val="0"/>
        <w:widowControl w:val="0"/>
        <w:kinsoku/>
        <w:wordWrap/>
        <w:overflowPunct/>
        <w:topLinePunct w:val="0"/>
        <w:autoSpaceDE/>
        <w:autoSpaceDN/>
        <w:bidi w:val="0"/>
        <w:spacing w:line="560" w:lineRule="exact"/>
        <w:ind w:left="0" w:leftChars="0" w:firstLine="660"/>
        <w:jc w:val="both"/>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项目采取“先建后补、以奖代补”的方式，项目完成后，经</w:t>
      </w:r>
      <w:r>
        <w:rPr>
          <w:rFonts w:hint="eastAsia" w:ascii="仿宋_GB2312" w:hAnsi="仿宋_GB2312" w:eastAsia="仿宋_GB2312" w:cs="仿宋_GB2312"/>
          <w:color w:val="000000" w:themeColor="text1"/>
          <w:spacing w:val="-7"/>
          <w:sz w:val="32"/>
          <w:szCs w:val="32"/>
          <w:highlight w:val="none"/>
          <w:lang w:eastAsia="zh-CN"/>
          <w14:textFill>
            <w14:solidFill>
              <w14:schemeClr w14:val="tx1"/>
            </w14:solidFill>
          </w14:textFill>
        </w:rPr>
        <w:t>乡镇</w:t>
      </w:r>
      <w:r>
        <w:rPr>
          <w:rFonts w:hint="eastAsia" w:ascii="仿宋_GB2312" w:hAnsi="仿宋_GB2312" w:eastAsia="仿宋_GB2312" w:cs="仿宋_GB2312"/>
          <w:color w:val="000000" w:themeColor="text1"/>
          <w:spacing w:val="-7"/>
          <w:sz w:val="32"/>
          <w:szCs w:val="32"/>
          <w:highlight w:val="none"/>
          <w14:textFill>
            <w14:solidFill>
              <w14:schemeClr w14:val="tx1"/>
            </w14:solidFill>
          </w14:textFill>
        </w:rPr>
        <w:t>验收合格</w:t>
      </w:r>
      <w:r>
        <w:rPr>
          <w:rFonts w:hint="eastAsia" w:ascii="仿宋_GB2312" w:hAnsi="仿宋_GB2312" w:eastAsia="仿宋_GB2312" w:cs="仿宋_GB2312"/>
          <w:color w:val="000000" w:themeColor="text1"/>
          <w:spacing w:val="-7"/>
          <w:sz w:val="32"/>
          <w:szCs w:val="32"/>
          <w:highlight w:val="none"/>
          <w:lang w:eastAsia="zh-CN"/>
          <w14:textFill>
            <w14:solidFill>
              <w14:schemeClr w14:val="tx1"/>
            </w14:solidFill>
          </w14:textFill>
        </w:rPr>
        <w:t>，新区抽检后</w:t>
      </w:r>
      <w:r>
        <w:rPr>
          <w:rFonts w:hint="eastAsia" w:ascii="仿宋_GB2312" w:hAnsi="仿宋_GB2312" w:eastAsia="仿宋_GB2312" w:cs="仿宋_GB2312"/>
          <w:color w:val="000000" w:themeColor="text1"/>
          <w:spacing w:val="-7"/>
          <w:sz w:val="32"/>
          <w:szCs w:val="32"/>
          <w:highlight w:val="none"/>
          <w14:textFill>
            <w14:solidFill>
              <w14:schemeClr w14:val="tx1"/>
            </w14:solidFill>
          </w14:textFill>
        </w:rPr>
        <w:t>，采取现金直补方式直接补助给实施主体。</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由统筹城乡发展局负责指导各乡镇抓好该项目的组织实施和管理工作，新区下达2024年“粮+菜”指导性计划到乡镇（街道），乡镇（街道）结合本地情况，将各项种植计划任务分解下达到各村，并规划布局重点种植区域，采取现场会、自媒体直播等多种形式宣传发动秋冬种工作。要以村为单位将“粮+菜”（含胡豆）种植情况登记造册到户到地块，并及时对“粮+菜”的种植面积和收获面积开展全覆盖检查验收，确保种植任务和后续验收工作顺利完成。</w:t>
      </w:r>
    </w:p>
    <w:p w14:paraId="334C2B37">
      <w:pPr>
        <w:keepNext w:val="0"/>
        <w:keepLines w:val="0"/>
        <w:pageBreakBefore w:val="0"/>
        <w:widowControl w:val="0"/>
        <w:kinsoku/>
        <w:wordWrap/>
        <w:overflowPunct/>
        <w:topLinePunct w:val="0"/>
        <w:autoSpaceDE/>
        <w:autoSpaceDN/>
        <w:bidi w:val="0"/>
        <w:spacing w:line="560" w:lineRule="exact"/>
        <w:ind w:firstLine="644" w:firstLineChars="200"/>
        <w:textAlignment w:val="auto"/>
        <w:rPr>
          <w:rFonts w:hint="eastAsia" w:ascii="楷体_GB2312" w:eastAsia="楷体_GB2312"/>
          <w:color w:val="000000" w:themeColor="text1"/>
          <w:sz w:val="32"/>
          <w:szCs w:val="32"/>
          <w:highlight w:val="none"/>
          <w14:textFill>
            <w14:solidFill>
              <w14:schemeClr w14:val="tx1"/>
            </w14:solidFill>
          </w14:textFill>
        </w:rPr>
      </w:pPr>
      <w:r>
        <w:rPr>
          <w:rFonts w:hint="eastAsia" w:ascii="楷体_GB2312" w:eastAsia="楷体_GB2312"/>
          <w:color w:val="000000" w:themeColor="text1"/>
          <w:sz w:val="32"/>
          <w:szCs w:val="32"/>
          <w:highlight w:val="none"/>
          <w:lang w:eastAsia="zh-CN"/>
          <w14:textFill>
            <w14:solidFill>
              <w14:schemeClr w14:val="tx1"/>
            </w14:solidFill>
          </w14:textFill>
        </w:rPr>
        <w:t>（三）</w:t>
      </w:r>
      <w:r>
        <w:rPr>
          <w:rFonts w:hint="eastAsia" w:ascii="楷体_GB2312" w:eastAsia="楷体_GB2312"/>
          <w:color w:val="000000" w:themeColor="text1"/>
          <w:sz w:val="32"/>
          <w:szCs w:val="32"/>
          <w:highlight w:val="none"/>
          <w14:textFill>
            <w14:solidFill>
              <w14:schemeClr w14:val="tx1"/>
            </w14:solidFill>
          </w14:textFill>
        </w:rPr>
        <w:t>进度安排及阶段目标</w:t>
      </w:r>
    </w:p>
    <w:p w14:paraId="22AE6157">
      <w:pPr>
        <w:keepNext w:val="0"/>
        <w:keepLines w:val="0"/>
        <w:pageBreakBefore w:val="0"/>
        <w:widowControl w:val="0"/>
        <w:kinsoku/>
        <w:wordWrap/>
        <w:overflowPunct/>
        <w:topLinePunct w:val="0"/>
        <w:autoSpaceDE/>
        <w:autoSpaceDN/>
        <w:bidi w:val="0"/>
        <w:spacing w:line="560" w:lineRule="exact"/>
        <w:ind w:left="0" w:firstLine="644"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2024年9月—2025年6月；</w:t>
      </w:r>
    </w:p>
    <w:p w14:paraId="4C5D6EEA">
      <w:pPr>
        <w:keepNext w:val="0"/>
        <w:keepLines w:val="0"/>
        <w:pageBreakBefore w:val="0"/>
        <w:widowControl w:val="0"/>
        <w:kinsoku/>
        <w:wordWrap/>
        <w:overflowPunct/>
        <w:topLinePunct w:val="0"/>
        <w:autoSpaceDE/>
        <w:autoSpaceDN/>
        <w:bidi w:val="0"/>
        <w:spacing w:line="560" w:lineRule="exact"/>
        <w:ind w:left="0" w:firstLine="644"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1.2024年9月，完成种子、肥料、农药等生产物资准备，结合订单开展甘蓝、花菜、大葱、胡豆等蔬菜育苗工作。</w:t>
      </w:r>
    </w:p>
    <w:p w14:paraId="4F04D9BB">
      <w:pPr>
        <w:keepNext w:val="0"/>
        <w:keepLines w:val="0"/>
        <w:pageBreakBefore w:val="0"/>
        <w:widowControl w:val="0"/>
        <w:kinsoku/>
        <w:wordWrap/>
        <w:overflowPunct/>
        <w:topLinePunct w:val="0"/>
        <w:autoSpaceDE/>
        <w:autoSpaceDN/>
        <w:bidi w:val="0"/>
        <w:spacing w:line="560" w:lineRule="exact"/>
        <w:ind w:left="0" w:firstLine="644"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2.2024年10月，完成水稻、玉米、甘薯等粮食作物收获，粮田整地。</w:t>
      </w:r>
    </w:p>
    <w:p w14:paraId="6438272D">
      <w:pPr>
        <w:keepNext w:val="0"/>
        <w:keepLines w:val="0"/>
        <w:pageBreakBefore w:val="0"/>
        <w:widowControl w:val="0"/>
        <w:kinsoku/>
        <w:wordWrap/>
        <w:overflowPunct/>
        <w:topLinePunct w:val="0"/>
        <w:autoSpaceDE/>
        <w:autoSpaceDN/>
        <w:bidi w:val="0"/>
        <w:spacing w:line="560" w:lineRule="exact"/>
        <w:ind w:left="0" w:firstLine="644"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3.2024年11月，完成2万亩胡豆、豌豆、甘蓝、香葱、白菜、青菜、花菜、速生菜种植。</w:t>
      </w:r>
    </w:p>
    <w:p w14:paraId="5A910767">
      <w:pPr>
        <w:keepNext w:val="0"/>
        <w:keepLines w:val="0"/>
        <w:pageBreakBefore w:val="0"/>
        <w:widowControl w:val="0"/>
        <w:kinsoku/>
        <w:wordWrap/>
        <w:overflowPunct/>
        <w:topLinePunct w:val="0"/>
        <w:autoSpaceDE/>
        <w:autoSpaceDN/>
        <w:bidi w:val="0"/>
        <w:spacing w:line="560" w:lineRule="exact"/>
        <w:ind w:left="0" w:firstLine="644"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4.2024年12月—2025年5月，开展田间管理，产销对接，采收上市。</w:t>
      </w:r>
    </w:p>
    <w:p w14:paraId="644D1B00">
      <w:pPr>
        <w:keepNext w:val="0"/>
        <w:keepLines w:val="0"/>
        <w:pageBreakBefore w:val="0"/>
        <w:widowControl w:val="0"/>
        <w:kinsoku/>
        <w:wordWrap/>
        <w:overflowPunct/>
        <w:topLinePunct w:val="0"/>
        <w:autoSpaceDE/>
        <w:autoSpaceDN/>
        <w:bidi w:val="0"/>
        <w:spacing w:line="560" w:lineRule="exact"/>
        <w:ind w:left="0" w:firstLine="644" w:firstLineChars="200"/>
        <w:textAlignment w:val="auto"/>
        <w:rPr>
          <w:rFonts w:hint="default"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5.2025年6月前，做好项目总结验收工作。</w:t>
      </w:r>
    </w:p>
    <w:p w14:paraId="4380BE79">
      <w:pPr>
        <w:keepNext w:val="0"/>
        <w:keepLines w:val="0"/>
        <w:pageBreakBefore w:val="0"/>
        <w:widowControl w:val="0"/>
        <w:kinsoku/>
        <w:wordWrap/>
        <w:overflowPunct/>
        <w:topLinePunct w:val="0"/>
        <w:autoSpaceDE/>
        <w:autoSpaceDN/>
        <w:bidi w:val="0"/>
        <w:spacing w:line="560" w:lineRule="exact"/>
        <w:ind w:firstLine="644" w:firstLineChars="200"/>
        <w:textAlignment w:val="auto"/>
        <w:rPr>
          <w:rFonts w:hint="eastAsia" w:ascii="楷体_GB2312" w:eastAsia="楷体_GB2312"/>
          <w:color w:val="000000" w:themeColor="text1"/>
          <w:sz w:val="32"/>
          <w:szCs w:val="32"/>
          <w:highlight w:val="none"/>
          <w14:textFill>
            <w14:solidFill>
              <w14:schemeClr w14:val="tx1"/>
            </w14:solidFill>
          </w14:textFill>
        </w:rPr>
      </w:pPr>
      <w:r>
        <w:rPr>
          <w:rFonts w:hint="eastAsia" w:ascii="楷体_GB2312" w:eastAsia="楷体_GB2312"/>
          <w:color w:val="000000" w:themeColor="text1"/>
          <w:sz w:val="32"/>
          <w:szCs w:val="32"/>
          <w:highlight w:val="none"/>
          <w:lang w:eastAsia="zh-CN"/>
          <w14:textFill>
            <w14:solidFill>
              <w14:schemeClr w14:val="tx1"/>
            </w14:solidFill>
          </w14:textFill>
        </w:rPr>
        <w:t>（四）</w:t>
      </w:r>
      <w:r>
        <w:rPr>
          <w:rFonts w:hint="eastAsia" w:ascii="楷体_GB2312" w:eastAsia="楷体_GB2312"/>
          <w:color w:val="000000" w:themeColor="text1"/>
          <w:sz w:val="32"/>
          <w:szCs w:val="32"/>
          <w:highlight w:val="none"/>
          <w14:textFill>
            <w14:solidFill>
              <w14:schemeClr w14:val="tx1"/>
            </w14:solidFill>
          </w14:textFill>
        </w:rPr>
        <w:t>预期成果</w:t>
      </w:r>
    </w:p>
    <w:p w14:paraId="11739124">
      <w:pPr>
        <w:keepNext w:val="0"/>
        <w:keepLines w:val="0"/>
        <w:pageBreakBefore w:val="0"/>
        <w:widowControl w:val="0"/>
        <w:kinsoku/>
        <w:wordWrap/>
        <w:overflowPunct/>
        <w:topLinePunct w:val="0"/>
        <w:autoSpaceDE/>
        <w:autoSpaceDN/>
        <w:bidi w:val="0"/>
        <w:spacing w:line="560" w:lineRule="exact"/>
        <w:ind w:left="0" w:firstLine="644"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贵安新区发展“粮+菜”示范基地建设2万亩；推广蚕豆、香葱、青菜、花菜、甘蓝等优良品种，实现蔬菜上市2.5万吨、产值5000万元以上，高质量实现“粮+菜”一亩地两收益，提升耕地复种指数和土地产出，切实为民谋产业、促农增效、助农增收。</w:t>
      </w:r>
    </w:p>
    <w:p w14:paraId="147EEB0F">
      <w:pPr>
        <w:keepNext w:val="0"/>
        <w:keepLines w:val="0"/>
        <w:pageBreakBefore w:val="0"/>
        <w:widowControl w:val="0"/>
        <w:kinsoku/>
        <w:wordWrap/>
        <w:overflowPunct/>
        <w:topLinePunct w:val="0"/>
        <w:autoSpaceDE/>
        <w:autoSpaceDN/>
        <w:bidi w:val="0"/>
        <w:spacing w:line="560" w:lineRule="exact"/>
        <w:ind w:firstLine="644" w:firstLineChars="200"/>
        <w:textAlignment w:val="auto"/>
        <w:rPr>
          <w:rFonts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五、实施周期</w:t>
      </w:r>
    </w:p>
    <w:p w14:paraId="01D016E6">
      <w:pPr>
        <w:keepNext w:val="0"/>
        <w:keepLines w:val="0"/>
        <w:pageBreakBefore w:val="0"/>
        <w:widowControl w:val="0"/>
        <w:kinsoku/>
        <w:wordWrap/>
        <w:overflowPunct/>
        <w:topLinePunct w:val="0"/>
        <w:autoSpaceDE/>
        <w:autoSpaceDN/>
        <w:bidi w:val="0"/>
        <w:adjustRightInd w:val="0"/>
        <w:snapToGrid w:val="0"/>
        <w:spacing w:line="560" w:lineRule="exact"/>
        <w:ind w:left="0" w:firstLine="640"/>
        <w:textAlignment w:val="auto"/>
        <w:rPr>
          <w:rFonts w:hint="eastAsia" w:ascii="方正仿宋_GBK" w:eastAsia="方正仿宋_GBK" w:cs="方正仿宋_GBK"/>
          <w:color w:val="000000" w:themeColor="text1"/>
          <w:sz w:val="32"/>
          <w:szCs w:val="32"/>
          <w:highlight w:val="none"/>
          <w:lang w:val="en-US" w:eastAsia="zh-CN"/>
          <w14:textFill>
            <w14:solidFill>
              <w14:schemeClr w14:val="tx1"/>
            </w14:solidFill>
          </w14:textFill>
        </w:rPr>
      </w:pPr>
      <w:r>
        <w:rPr>
          <w:rFonts w:hint="eastAsia" w:ascii="仿宋_GB2312" w:eastAsia="仿宋_GB2312" w:cs="仿宋_GB2312"/>
          <w:color w:val="000000" w:themeColor="text1"/>
          <w:sz w:val="32"/>
          <w:szCs w:val="32"/>
          <w:highlight w:val="none"/>
          <w:lang w:val="en-US" w:eastAsia="zh-CN"/>
          <w14:textFill>
            <w14:solidFill>
              <w14:schemeClr w14:val="tx1"/>
            </w14:solidFill>
          </w14:textFill>
        </w:rPr>
        <w:t>2024年9月起至2025年6月。</w:t>
      </w:r>
    </w:p>
    <w:p w14:paraId="10845243">
      <w:pPr>
        <w:keepNext w:val="0"/>
        <w:keepLines w:val="0"/>
        <w:pageBreakBefore w:val="0"/>
        <w:widowControl w:val="0"/>
        <w:kinsoku/>
        <w:wordWrap/>
        <w:overflowPunct/>
        <w:topLinePunct w:val="0"/>
        <w:autoSpaceDE/>
        <w:autoSpaceDN/>
        <w:bidi w:val="0"/>
        <w:spacing w:line="560" w:lineRule="exact"/>
        <w:ind w:firstLine="644" w:firstLineChars="200"/>
        <w:textAlignment w:val="auto"/>
        <w:rPr>
          <w:rFonts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六、年度预算计划</w:t>
      </w:r>
    </w:p>
    <w:p w14:paraId="1A6230EB">
      <w:pPr>
        <w:keepNext w:val="0"/>
        <w:keepLines w:val="0"/>
        <w:pageBreakBefore w:val="0"/>
        <w:widowControl w:val="0"/>
        <w:kinsoku/>
        <w:wordWrap/>
        <w:overflowPunct/>
        <w:topLinePunct w:val="0"/>
        <w:autoSpaceDE/>
        <w:autoSpaceDN/>
        <w:bidi w:val="0"/>
        <w:spacing w:line="560" w:lineRule="exact"/>
        <w:ind w:left="0" w:firstLine="644"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2025年预算：一般公共预算250万元。支持2万亩“粮+菜”种植，按100元/亩标准补助，主要支持种植种苗、肥料、农药等。支持胡豆种植，按150元/亩标准补助（其中100元为“粮+菜”种植补助，50元为胡豆种植的额外补助)，主要支持种植种苗、肥料、农药等。）</w:t>
      </w:r>
    </w:p>
    <w:p w14:paraId="44C89AE1">
      <w:pPr>
        <w:keepNext w:val="0"/>
        <w:keepLines w:val="0"/>
        <w:pageBreakBefore w:val="0"/>
        <w:widowControl w:val="0"/>
        <w:kinsoku/>
        <w:wordWrap/>
        <w:overflowPunct/>
        <w:topLinePunct w:val="0"/>
        <w:autoSpaceDE/>
        <w:autoSpaceDN/>
        <w:bidi w:val="0"/>
        <w:spacing w:line="560" w:lineRule="exact"/>
        <w:ind w:firstLine="644" w:firstLineChars="200"/>
        <w:textAlignment w:val="auto"/>
        <w:rPr>
          <w:rFonts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七、绩效目标和指标</w:t>
      </w:r>
    </w:p>
    <w:p w14:paraId="16D41771">
      <w:pPr>
        <w:keepNext w:val="0"/>
        <w:keepLines w:val="0"/>
        <w:pageBreakBefore w:val="0"/>
        <w:widowControl w:val="0"/>
        <w:kinsoku/>
        <w:wordWrap/>
        <w:overflowPunct/>
        <w:topLinePunct w:val="0"/>
        <w:autoSpaceDE/>
        <w:autoSpaceDN/>
        <w:bidi w:val="0"/>
        <w:spacing w:line="560" w:lineRule="exact"/>
        <w:ind w:firstLine="644" w:firstLineChars="200"/>
        <w:textAlignment w:val="auto"/>
        <w:rPr>
          <w:rFonts w:hint="eastAsia" w:ascii="华文仿宋" w:hAnsi="华文仿宋" w:eastAsia="华文仿宋"/>
          <w:color w:val="000000" w:themeColor="text1"/>
          <w:sz w:val="32"/>
          <w:szCs w:val="32"/>
          <w:highlight w:val="none"/>
          <w14:textFill>
            <w14:solidFill>
              <w14:schemeClr w14:val="tx1"/>
            </w14:solidFill>
          </w14:textFill>
        </w:rPr>
      </w:pPr>
      <w:r>
        <w:rPr>
          <w:rFonts w:hint="eastAsia" w:ascii="华文仿宋" w:hAnsi="华文仿宋" w:eastAsia="华文仿宋"/>
          <w:color w:val="000000" w:themeColor="text1"/>
          <w:sz w:val="32"/>
          <w:szCs w:val="32"/>
          <w:highlight w:val="none"/>
          <w14:textFill>
            <w14:solidFill>
              <w14:schemeClr w14:val="tx1"/>
            </w14:solidFill>
          </w14:textFill>
        </w:rPr>
        <w:t>详见下表。</w:t>
      </w:r>
    </w:p>
    <w:p w14:paraId="14E092B4">
      <w:pPr>
        <w:keepNext w:val="0"/>
        <w:keepLines w:val="0"/>
        <w:pageBreakBefore w:val="0"/>
        <w:widowControl w:val="0"/>
        <w:kinsoku/>
        <w:wordWrap/>
        <w:overflowPunct/>
        <w:topLinePunct w:val="0"/>
        <w:autoSpaceDE/>
        <w:autoSpaceDN/>
        <w:bidi w:val="0"/>
        <w:spacing w:line="560" w:lineRule="exact"/>
        <w:textAlignment w:val="auto"/>
        <w:rPr>
          <w:rFonts w:hint="eastAsia"/>
        </w:rPr>
      </w:pPr>
      <w:r>
        <w:rPr>
          <w:rFonts w:hint="eastAsia"/>
        </w:rPr>
        <w:br w:type="page"/>
      </w:r>
    </w:p>
    <w:tbl>
      <w:tblPr>
        <w:tblStyle w:val="10"/>
        <w:tblW w:w="1501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86"/>
        <w:gridCol w:w="1366"/>
        <w:gridCol w:w="1850"/>
        <w:gridCol w:w="1378"/>
        <w:gridCol w:w="1271"/>
        <w:gridCol w:w="1386"/>
        <w:gridCol w:w="1"/>
        <w:gridCol w:w="2321"/>
        <w:gridCol w:w="3855"/>
      </w:tblGrid>
      <w:tr w14:paraId="09236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blHeader/>
          <w:jc w:val="center"/>
        </w:trPr>
        <w:tc>
          <w:tcPr>
            <w:tcW w:w="15014" w:type="dxa"/>
            <w:gridSpan w:val="9"/>
            <w:tcBorders>
              <w:top w:val="nil"/>
              <w:left w:val="nil"/>
              <w:bottom w:val="nil"/>
              <w:right w:val="nil"/>
            </w:tcBorders>
            <w:shd w:val="clear" w:color="auto" w:fill="auto"/>
            <w:vAlign w:val="center"/>
          </w:tcPr>
          <w:p w14:paraId="64911561">
            <w:pPr>
              <w:keepNext w:val="0"/>
              <w:keepLines w:val="0"/>
              <w:widowControl/>
              <w:suppressLineNumbers w:val="0"/>
              <w:jc w:val="center"/>
              <w:textAlignment w:val="center"/>
              <w:rPr>
                <w:rFonts w:hint="eastAsia" w:ascii="宋体" w:hAnsi="宋体" w:eastAsia="宋体" w:cs="宋体"/>
                <w:b/>
                <w:bCs/>
                <w:i w:val="0"/>
                <w:iCs w:val="0"/>
                <w:color w:val="000000"/>
                <w:sz w:val="43"/>
                <w:szCs w:val="43"/>
                <w:u w:val="none"/>
              </w:rPr>
            </w:pPr>
            <w:r>
              <w:rPr>
                <w:rFonts w:hint="eastAsia" w:ascii="宋体" w:hAnsi="宋体" w:eastAsia="宋体" w:cs="宋体"/>
                <w:b/>
                <w:bCs/>
                <w:i w:val="0"/>
                <w:iCs w:val="0"/>
                <w:color w:val="000000"/>
                <w:kern w:val="0"/>
                <w:sz w:val="43"/>
                <w:szCs w:val="43"/>
                <w:u w:val="none"/>
                <w:lang w:val="en-US" w:eastAsia="zh-CN" w:bidi="ar"/>
              </w:rPr>
              <w:t>项目支出绩效目标申报表</w:t>
            </w:r>
          </w:p>
        </w:tc>
      </w:tr>
      <w:tr w14:paraId="02DE7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 w:hRule="atLeast"/>
          <w:tblHeader/>
          <w:jc w:val="center"/>
        </w:trPr>
        <w:tc>
          <w:tcPr>
            <w:tcW w:w="15014" w:type="dxa"/>
            <w:gridSpan w:val="9"/>
            <w:tcBorders>
              <w:top w:val="nil"/>
              <w:left w:val="nil"/>
              <w:bottom w:val="single" w:color="auto" w:sz="4" w:space="0"/>
              <w:right w:val="nil"/>
            </w:tcBorders>
            <w:shd w:val="clear" w:color="auto" w:fill="auto"/>
            <w:vAlign w:val="center"/>
          </w:tcPr>
          <w:p w14:paraId="14C15C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（2025年度）</w:t>
            </w:r>
          </w:p>
        </w:tc>
      </w:tr>
      <w:tr w14:paraId="0FA3C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blHeader/>
          <w:jc w:val="center"/>
        </w:trPr>
        <w:tc>
          <w:tcPr>
            <w:tcW w:w="2952"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6FCA28D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项目名称</w:t>
            </w:r>
          </w:p>
        </w:tc>
        <w:tc>
          <w:tcPr>
            <w:tcW w:w="4499"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57AC91DB">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2024年贵安新区“粮+菜”示范基地建设资金</w:t>
            </w:r>
            <w:r>
              <w:rPr>
                <w:rFonts w:hint="eastAsia" w:ascii="宋体" w:hAnsi="宋体" w:cs="宋体"/>
                <w:i w:val="0"/>
                <w:iCs w:val="0"/>
                <w:color w:val="000000"/>
                <w:kern w:val="0"/>
                <w:sz w:val="20"/>
                <w:szCs w:val="20"/>
                <w:u w:val="none"/>
                <w:lang w:val="en-US" w:eastAsia="zh-CN" w:bidi="ar"/>
              </w:rPr>
              <w:t>项目</w:t>
            </w: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14:paraId="570795F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项目编码</w:t>
            </w:r>
          </w:p>
        </w:tc>
        <w:tc>
          <w:tcPr>
            <w:tcW w:w="6177"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03171165">
            <w:pPr>
              <w:jc w:val="center"/>
              <w:rPr>
                <w:rFonts w:hint="eastAsia" w:ascii="宋体" w:hAnsi="宋体" w:eastAsia="宋体" w:cs="宋体"/>
                <w:i w:val="0"/>
                <w:iCs w:val="0"/>
                <w:color w:val="000000"/>
                <w:sz w:val="20"/>
                <w:szCs w:val="20"/>
                <w:u w:val="none"/>
              </w:rPr>
            </w:pPr>
          </w:p>
        </w:tc>
      </w:tr>
      <w:tr w14:paraId="59728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blHeader/>
          <w:jc w:val="center"/>
        </w:trPr>
        <w:tc>
          <w:tcPr>
            <w:tcW w:w="2952"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2D17CD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主管部门及代码</w:t>
            </w:r>
          </w:p>
        </w:tc>
        <w:tc>
          <w:tcPr>
            <w:tcW w:w="4499"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0FA908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866001</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贵州贵安统筹城乡发展局</w:t>
            </w:r>
          </w:p>
        </w:tc>
        <w:tc>
          <w:tcPr>
            <w:tcW w:w="1386" w:type="dxa"/>
            <w:tcBorders>
              <w:top w:val="single" w:color="auto" w:sz="4" w:space="0"/>
              <w:left w:val="single" w:color="auto" w:sz="4" w:space="0"/>
              <w:bottom w:val="single" w:color="auto" w:sz="4" w:space="0"/>
              <w:right w:val="single" w:color="auto" w:sz="4" w:space="0"/>
            </w:tcBorders>
            <w:shd w:val="clear" w:color="auto" w:fill="FFFFFF"/>
            <w:vAlign w:val="center"/>
          </w:tcPr>
          <w:p w14:paraId="274DA9C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实施单位</w:t>
            </w:r>
          </w:p>
        </w:tc>
        <w:tc>
          <w:tcPr>
            <w:tcW w:w="6177"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0D1097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贵州贵安统筹城乡发展局</w:t>
            </w:r>
          </w:p>
        </w:tc>
      </w:tr>
      <w:tr w14:paraId="1B202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jc w:val="center"/>
        </w:trPr>
        <w:tc>
          <w:tcPr>
            <w:tcW w:w="2952" w:type="dxa"/>
            <w:gridSpan w:val="2"/>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4A0A97D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资金来源</w:t>
            </w:r>
          </w:p>
        </w:tc>
        <w:tc>
          <w:tcPr>
            <w:tcW w:w="12062" w:type="dxa"/>
            <w:gridSpan w:val="7"/>
            <w:tcBorders>
              <w:top w:val="single" w:color="auto" w:sz="4" w:space="0"/>
              <w:left w:val="single" w:color="auto" w:sz="4" w:space="0"/>
              <w:bottom w:val="single" w:color="auto" w:sz="4" w:space="0"/>
              <w:right w:val="single" w:color="auto" w:sz="4" w:space="0"/>
            </w:tcBorders>
            <w:shd w:val="clear" w:color="auto" w:fill="FFFFFF"/>
            <w:vAlign w:val="center"/>
          </w:tcPr>
          <w:p w14:paraId="10613CA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年度资金情况</w:t>
            </w:r>
          </w:p>
        </w:tc>
      </w:tr>
      <w:tr w14:paraId="2D438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jc w:val="center"/>
        </w:trPr>
        <w:tc>
          <w:tcPr>
            <w:tcW w:w="2952" w:type="dxa"/>
            <w:gridSpan w:val="2"/>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2AD3F30">
            <w:pPr>
              <w:jc w:val="center"/>
              <w:rPr>
                <w:rFonts w:hint="eastAsia" w:ascii="宋体" w:hAnsi="宋体" w:eastAsia="宋体" w:cs="宋体"/>
                <w:b/>
                <w:bCs/>
                <w:i w:val="0"/>
                <w:iCs w:val="0"/>
                <w:color w:val="000000"/>
                <w:sz w:val="20"/>
                <w:szCs w:val="20"/>
                <w:u w:val="none"/>
              </w:rPr>
            </w:pPr>
          </w:p>
        </w:tc>
        <w:tc>
          <w:tcPr>
            <w:tcW w:w="3228"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1F7F6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资金总额</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元</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w:t>
            </w:r>
          </w:p>
        </w:tc>
        <w:tc>
          <w:tcPr>
            <w:tcW w:w="8834"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32E480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2,500,000.00</w:t>
            </w:r>
          </w:p>
        </w:tc>
      </w:tr>
      <w:tr w14:paraId="53130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jc w:val="center"/>
        </w:trPr>
        <w:tc>
          <w:tcPr>
            <w:tcW w:w="2952" w:type="dxa"/>
            <w:gridSpan w:val="2"/>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3A4AB3A1">
            <w:pPr>
              <w:jc w:val="center"/>
              <w:rPr>
                <w:rFonts w:hint="eastAsia" w:ascii="宋体" w:hAnsi="宋体" w:eastAsia="宋体" w:cs="宋体"/>
                <w:b/>
                <w:bCs/>
                <w:i w:val="0"/>
                <w:iCs w:val="0"/>
                <w:color w:val="000000"/>
                <w:sz w:val="20"/>
                <w:szCs w:val="20"/>
                <w:u w:val="none"/>
              </w:rPr>
            </w:pPr>
          </w:p>
        </w:tc>
        <w:tc>
          <w:tcPr>
            <w:tcW w:w="3228"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6610DD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财政拨款</w:t>
            </w:r>
          </w:p>
        </w:tc>
        <w:tc>
          <w:tcPr>
            <w:tcW w:w="8834"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2135FA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2,500,000.00</w:t>
            </w:r>
          </w:p>
        </w:tc>
      </w:tr>
      <w:tr w14:paraId="02624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jc w:val="center"/>
        </w:trPr>
        <w:tc>
          <w:tcPr>
            <w:tcW w:w="2952" w:type="dxa"/>
            <w:gridSpan w:val="2"/>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20E1C77">
            <w:pPr>
              <w:jc w:val="center"/>
              <w:rPr>
                <w:rFonts w:hint="eastAsia" w:ascii="宋体" w:hAnsi="宋体" w:eastAsia="宋体" w:cs="宋体"/>
                <w:b/>
                <w:bCs/>
                <w:i w:val="0"/>
                <w:iCs w:val="0"/>
                <w:color w:val="000000"/>
                <w:sz w:val="20"/>
                <w:szCs w:val="20"/>
                <w:u w:val="none"/>
              </w:rPr>
            </w:pPr>
          </w:p>
        </w:tc>
        <w:tc>
          <w:tcPr>
            <w:tcW w:w="3228"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B2A2D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其中：上级补助</w:t>
            </w:r>
          </w:p>
        </w:tc>
        <w:tc>
          <w:tcPr>
            <w:tcW w:w="8834"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7482A73F">
            <w:pPr>
              <w:rPr>
                <w:rFonts w:hint="eastAsia" w:ascii="宋体" w:hAnsi="宋体" w:eastAsia="宋体" w:cs="宋体"/>
                <w:i w:val="0"/>
                <w:iCs w:val="0"/>
                <w:color w:val="000000"/>
                <w:sz w:val="20"/>
                <w:szCs w:val="20"/>
                <w:u w:val="none"/>
              </w:rPr>
            </w:pPr>
          </w:p>
        </w:tc>
      </w:tr>
      <w:tr w14:paraId="1CCE0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jc w:val="center"/>
        </w:trPr>
        <w:tc>
          <w:tcPr>
            <w:tcW w:w="2952" w:type="dxa"/>
            <w:gridSpan w:val="2"/>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23EC89F6">
            <w:pPr>
              <w:jc w:val="center"/>
              <w:rPr>
                <w:rFonts w:hint="eastAsia" w:ascii="宋体" w:hAnsi="宋体" w:eastAsia="宋体" w:cs="宋体"/>
                <w:b/>
                <w:bCs/>
                <w:i w:val="0"/>
                <w:iCs w:val="0"/>
                <w:color w:val="000000"/>
                <w:sz w:val="20"/>
                <w:szCs w:val="20"/>
                <w:u w:val="none"/>
              </w:rPr>
            </w:pPr>
          </w:p>
        </w:tc>
        <w:tc>
          <w:tcPr>
            <w:tcW w:w="3228"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3974E3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本级安排</w:t>
            </w:r>
          </w:p>
        </w:tc>
        <w:tc>
          <w:tcPr>
            <w:tcW w:w="8834"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12ACB3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2,500,000.00</w:t>
            </w:r>
          </w:p>
        </w:tc>
      </w:tr>
      <w:tr w14:paraId="58011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jc w:val="center"/>
        </w:trPr>
        <w:tc>
          <w:tcPr>
            <w:tcW w:w="2952" w:type="dxa"/>
            <w:gridSpan w:val="2"/>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1A416D1">
            <w:pPr>
              <w:jc w:val="center"/>
              <w:rPr>
                <w:rFonts w:hint="eastAsia" w:ascii="宋体" w:hAnsi="宋体" w:eastAsia="宋体" w:cs="宋体"/>
                <w:b/>
                <w:bCs/>
                <w:i w:val="0"/>
                <w:iCs w:val="0"/>
                <w:color w:val="000000"/>
                <w:sz w:val="20"/>
                <w:szCs w:val="20"/>
                <w:u w:val="none"/>
              </w:rPr>
            </w:pPr>
          </w:p>
        </w:tc>
        <w:tc>
          <w:tcPr>
            <w:tcW w:w="3228"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0B405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其他资金</w:t>
            </w:r>
          </w:p>
        </w:tc>
        <w:tc>
          <w:tcPr>
            <w:tcW w:w="8834"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501ABC42">
            <w:pPr>
              <w:jc w:val="center"/>
              <w:rPr>
                <w:rFonts w:hint="eastAsia" w:ascii="宋体" w:hAnsi="宋体" w:eastAsia="宋体" w:cs="宋体"/>
                <w:i w:val="0"/>
                <w:iCs w:val="0"/>
                <w:color w:val="000000"/>
                <w:sz w:val="20"/>
                <w:szCs w:val="20"/>
                <w:u w:val="none"/>
              </w:rPr>
            </w:pPr>
          </w:p>
        </w:tc>
      </w:tr>
      <w:tr w14:paraId="4A8FB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158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63BEE9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绩效目标</w:t>
            </w:r>
          </w:p>
        </w:tc>
        <w:tc>
          <w:tcPr>
            <w:tcW w:w="13428" w:type="dxa"/>
            <w:gridSpan w:val="8"/>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F6B01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目标概述：到2025年5月，新区发展“稻+菜”示范基地建设2万亩。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1.2024年9月，完成种子、肥料、农药等生产物</w:t>
            </w:r>
            <w:r>
              <w:rPr>
                <w:rFonts w:hint="eastAsia" w:ascii="宋体" w:hAnsi="宋体" w:cs="宋体"/>
                <w:i w:val="0"/>
                <w:iCs w:val="0"/>
                <w:color w:val="000000"/>
                <w:kern w:val="0"/>
                <w:sz w:val="20"/>
                <w:szCs w:val="20"/>
                <w:u w:val="none"/>
                <w:lang w:val="en-US" w:eastAsia="zh-CN" w:bidi="ar"/>
              </w:rPr>
              <w:t>资</w:t>
            </w:r>
            <w:r>
              <w:rPr>
                <w:rFonts w:hint="eastAsia" w:ascii="宋体" w:hAnsi="宋体" w:eastAsia="宋体" w:cs="宋体"/>
                <w:i w:val="0"/>
                <w:iCs w:val="0"/>
                <w:color w:val="000000"/>
                <w:kern w:val="0"/>
                <w:sz w:val="20"/>
                <w:szCs w:val="20"/>
                <w:u w:val="none"/>
                <w:lang w:val="en-US" w:eastAsia="zh-CN" w:bidi="ar"/>
              </w:rPr>
              <w:t>准备，结合订单开展甘蓝、花菜、大葱、胡豆等蔬菜育苗工作。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2.2024年10月，完成水稻、玉米、甘薯等粮食作物收获，粮田整地。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3.2024年11月，完成2万亩胡豆、豌豆、甘蓝、香葱、白菜、青菜、花菜、速生菜种植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4.2024年12月—2025年5月，开展田间管理，产销对接，采收上市。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5.2025年6月前，做好项目总结验收工作</w:t>
            </w:r>
          </w:p>
        </w:tc>
      </w:tr>
      <w:tr w14:paraId="34161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2" w:hRule="atLeast"/>
          <w:jc w:val="center"/>
        </w:trPr>
        <w:tc>
          <w:tcPr>
            <w:tcW w:w="15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DF77D73">
            <w:pPr>
              <w:jc w:val="center"/>
              <w:rPr>
                <w:rFonts w:hint="eastAsia" w:ascii="宋体" w:hAnsi="宋体" w:eastAsia="宋体" w:cs="宋体"/>
                <w:b/>
                <w:bCs/>
                <w:i w:val="0"/>
                <w:iCs w:val="0"/>
                <w:color w:val="000000"/>
                <w:sz w:val="20"/>
                <w:szCs w:val="20"/>
                <w:u w:val="none"/>
              </w:rPr>
            </w:pPr>
          </w:p>
        </w:tc>
        <w:tc>
          <w:tcPr>
            <w:tcW w:w="13428" w:type="dxa"/>
            <w:gridSpan w:val="8"/>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37208B">
            <w:pPr>
              <w:jc w:val="left"/>
              <w:rPr>
                <w:rFonts w:hint="eastAsia" w:ascii="宋体" w:hAnsi="宋体" w:eastAsia="宋体" w:cs="宋体"/>
                <w:i w:val="0"/>
                <w:iCs w:val="0"/>
                <w:color w:val="000000"/>
                <w:sz w:val="20"/>
                <w:szCs w:val="20"/>
                <w:u w:val="none"/>
              </w:rPr>
            </w:pPr>
          </w:p>
        </w:tc>
      </w:tr>
      <w:tr w14:paraId="39EAA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jc w:val="center"/>
        </w:trPr>
        <w:tc>
          <w:tcPr>
            <w:tcW w:w="158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95E4CA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一级指标</w:t>
            </w:r>
          </w:p>
        </w:tc>
        <w:tc>
          <w:tcPr>
            <w:tcW w:w="136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85F711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二级指标</w:t>
            </w:r>
          </w:p>
        </w:tc>
        <w:tc>
          <w:tcPr>
            <w:tcW w:w="18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D32F276">
            <w:pPr>
              <w:keepNext w:val="0"/>
              <w:keepLines w:val="0"/>
              <w:widowControl/>
              <w:suppressLineNumbers w:val="0"/>
              <w:jc w:val="center"/>
              <w:textAlignment w:val="center"/>
              <w:rPr>
                <w:rFonts w:hint="eastAsia" w:ascii="宋体" w:hAnsi="宋体" w:eastAsia="宋体" w:cs="宋体"/>
                <w:b/>
                <w:bCs/>
                <w:i w:val="0"/>
                <w:iCs w:val="0"/>
                <w:color w:val="FF0000"/>
                <w:sz w:val="20"/>
                <w:szCs w:val="20"/>
                <w:u w:val="none"/>
              </w:rPr>
            </w:pPr>
            <w:r>
              <w:rPr>
                <w:rFonts w:hint="eastAsia" w:ascii="宋体" w:hAnsi="宋体" w:eastAsia="宋体" w:cs="宋体"/>
                <w:b/>
                <w:bCs/>
                <w:i w:val="0"/>
                <w:iCs w:val="0"/>
                <w:color w:val="000000"/>
                <w:kern w:val="0"/>
                <w:sz w:val="20"/>
                <w:szCs w:val="20"/>
                <w:u w:val="none"/>
                <w:lang w:val="en-US" w:eastAsia="zh-CN" w:bidi="ar"/>
              </w:rPr>
              <w:t>三级指标</w:t>
            </w:r>
          </w:p>
        </w:tc>
        <w:tc>
          <w:tcPr>
            <w:tcW w:w="403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13EFB2A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指标值</w:t>
            </w:r>
          </w:p>
        </w:tc>
        <w:tc>
          <w:tcPr>
            <w:tcW w:w="232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FD6338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备注（指标解释等）</w:t>
            </w:r>
          </w:p>
        </w:tc>
        <w:tc>
          <w:tcPr>
            <w:tcW w:w="385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1B8984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指标值说明（评分标准等）</w:t>
            </w:r>
          </w:p>
        </w:tc>
      </w:tr>
      <w:tr w14:paraId="2311B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1" w:hRule="atLeast"/>
          <w:jc w:val="center"/>
        </w:trPr>
        <w:tc>
          <w:tcPr>
            <w:tcW w:w="15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B8C0D5">
            <w:pPr>
              <w:jc w:val="center"/>
              <w:rPr>
                <w:rFonts w:hint="eastAsia" w:ascii="宋体" w:hAnsi="宋体" w:eastAsia="宋体" w:cs="宋体"/>
                <w:b/>
                <w:bCs/>
                <w:i w:val="0"/>
                <w:iCs w:val="0"/>
                <w:color w:val="000000"/>
                <w:sz w:val="20"/>
                <w:szCs w:val="20"/>
                <w:u w:val="none"/>
              </w:rPr>
            </w:pPr>
          </w:p>
        </w:tc>
        <w:tc>
          <w:tcPr>
            <w:tcW w:w="136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CE7897">
            <w:pPr>
              <w:jc w:val="center"/>
              <w:rPr>
                <w:rFonts w:hint="eastAsia" w:ascii="宋体" w:hAnsi="宋体" w:eastAsia="宋体" w:cs="宋体"/>
                <w:b/>
                <w:bCs/>
                <w:i w:val="0"/>
                <w:iCs w:val="0"/>
                <w:color w:val="000000"/>
                <w:sz w:val="20"/>
                <w:szCs w:val="20"/>
                <w:u w:val="none"/>
              </w:rPr>
            </w:pPr>
          </w:p>
        </w:tc>
        <w:tc>
          <w:tcPr>
            <w:tcW w:w="18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2329F23">
            <w:pPr>
              <w:jc w:val="center"/>
              <w:rPr>
                <w:rFonts w:hint="eastAsia" w:ascii="宋体" w:hAnsi="宋体" w:eastAsia="宋体" w:cs="宋体"/>
                <w:b/>
                <w:bCs/>
                <w:i w:val="0"/>
                <w:iCs w:val="0"/>
                <w:color w:val="FF0000"/>
                <w:sz w:val="20"/>
                <w:szCs w:val="20"/>
                <w:u w:val="none"/>
              </w:rPr>
            </w:pPr>
          </w:p>
        </w:tc>
        <w:tc>
          <w:tcPr>
            <w:tcW w:w="1378" w:type="dxa"/>
            <w:tcBorders>
              <w:top w:val="single" w:color="auto" w:sz="4" w:space="0"/>
              <w:left w:val="single" w:color="auto" w:sz="4" w:space="0"/>
              <w:bottom w:val="single" w:color="auto" w:sz="4" w:space="0"/>
              <w:right w:val="single" w:color="auto" w:sz="4" w:space="0"/>
            </w:tcBorders>
            <w:shd w:val="clear" w:color="auto" w:fill="auto"/>
            <w:vAlign w:val="center"/>
          </w:tcPr>
          <w:p w14:paraId="50B69635">
            <w:pPr>
              <w:keepNext w:val="0"/>
              <w:keepLines w:val="0"/>
              <w:widowControl/>
              <w:suppressLineNumbers w:val="0"/>
              <w:jc w:val="center"/>
              <w:textAlignment w:val="center"/>
              <w:rPr>
                <w:rFonts w:hint="eastAsia" w:ascii="宋体" w:hAnsi="宋体" w:eastAsia="宋体" w:cs="宋体"/>
                <w:b/>
                <w:bCs/>
                <w:i w:val="0"/>
                <w:iCs w:val="0"/>
                <w:color w:val="FF0000"/>
                <w:sz w:val="20"/>
                <w:szCs w:val="20"/>
                <w:u w:val="none"/>
              </w:rPr>
            </w:pPr>
            <w:r>
              <w:rPr>
                <w:rFonts w:hint="eastAsia" w:ascii="宋体" w:hAnsi="宋体" w:eastAsia="宋体" w:cs="宋体"/>
                <w:b/>
                <w:bCs/>
                <w:i w:val="0"/>
                <w:iCs w:val="0"/>
                <w:color w:val="000000"/>
                <w:kern w:val="0"/>
                <w:sz w:val="20"/>
                <w:szCs w:val="20"/>
                <w:u w:val="none"/>
                <w:lang w:val="en-US" w:eastAsia="zh-CN" w:bidi="ar"/>
              </w:rPr>
              <w:t>符号</w:t>
            </w:r>
          </w:p>
        </w:tc>
        <w:tc>
          <w:tcPr>
            <w:tcW w:w="1271" w:type="dxa"/>
            <w:tcBorders>
              <w:top w:val="single" w:color="auto" w:sz="4" w:space="0"/>
              <w:left w:val="single" w:color="auto" w:sz="4" w:space="0"/>
              <w:bottom w:val="single" w:color="auto" w:sz="4" w:space="0"/>
              <w:right w:val="single" w:color="auto" w:sz="4" w:space="0"/>
            </w:tcBorders>
            <w:shd w:val="clear" w:color="auto" w:fill="auto"/>
            <w:vAlign w:val="center"/>
          </w:tcPr>
          <w:p w14:paraId="08CF49D6">
            <w:pPr>
              <w:keepNext w:val="0"/>
              <w:keepLines w:val="0"/>
              <w:widowControl/>
              <w:suppressLineNumbers w:val="0"/>
              <w:jc w:val="center"/>
              <w:textAlignment w:val="center"/>
              <w:rPr>
                <w:rFonts w:hint="eastAsia" w:ascii="宋体" w:hAnsi="宋体" w:eastAsia="宋体" w:cs="宋体"/>
                <w:b/>
                <w:bCs/>
                <w:i w:val="0"/>
                <w:iCs w:val="0"/>
                <w:color w:val="FF0000"/>
                <w:sz w:val="20"/>
                <w:szCs w:val="20"/>
                <w:u w:val="none"/>
              </w:rPr>
            </w:pPr>
            <w:r>
              <w:rPr>
                <w:rFonts w:hint="eastAsia" w:ascii="宋体" w:hAnsi="宋体" w:eastAsia="宋体" w:cs="宋体"/>
                <w:b/>
                <w:bCs/>
                <w:i w:val="0"/>
                <w:iCs w:val="0"/>
                <w:color w:val="000000"/>
                <w:kern w:val="0"/>
                <w:sz w:val="20"/>
                <w:szCs w:val="20"/>
                <w:u w:val="none"/>
                <w:lang w:val="en-US" w:eastAsia="zh-CN" w:bidi="ar"/>
              </w:rPr>
              <w:t>值</w:t>
            </w:r>
          </w:p>
        </w:tc>
        <w:tc>
          <w:tcPr>
            <w:tcW w:w="138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D6143F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计量单位</w:t>
            </w:r>
          </w:p>
        </w:tc>
        <w:tc>
          <w:tcPr>
            <w:tcW w:w="232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76ED10">
            <w:pPr>
              <w:jc w:val="center"/>
              <w:rPr>
                <w:rFonts w:hint="eastAsia" w:ascii="宋体" w:hAnsi="宋体" w:eastAsia="宋体" w:cs="宋体"/>
                <w:b/>
                <w:bCs/>
                <w:i w:val="0"/>
                <w:iCs w:val="0"/>
                <w:color w:val="000000"/>
                <w:sz w:val="20"/>
                <w:szCs w:val="20"/>
                <w:u w:val="none"/>
              </w:rPr>
            </w:pPr>
          </w:p>
        </w:tc>
        <w:tc>
          <w:tcPr>
            <w:tcW w:w="385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E5CE5AB">
            <w:pPr>
              <w:jc w:val="center"/>
              <w:rPr>
                <w:rFonts w:hint="eastAsia" w:ascii="宋体" w:hAnsi="宋体" w:eastAsia="宋体" w:cs="宋体"/>
                <w:b/>
                <w:bCs/>
                <w:i w:val="0"/>
                <w:iCs w:val="0"/>
                <w:color w:val="000000"/>
                <w:sz w:val="20"/>
                <w:szCs w:val="20"/>
                <w:u w:val="none"/>
              </w:rPr>
            </w:pPr>
          </w:p>
        </w:tc>
      </w:tr>
      <w:tr w14:paraId="17CFC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7" w:hRule="atLeast"/>
          <w:jc w:val="center"/>
        </w:trPr>
        <w:tc>
          <w:tcPr>
            <w:tcW w:w="1586" w:type="dxa"/>
            <w:tcBorders>
              <w:top w:val="single" w:color="auto" w:sz="4" w:space="0"/>
              <w:left w:val="single" w:color="auto" w:sz="4" w:space="0"/>
              <w:bottom w:val="single" w:color="auto" w:sz="4" w:space="0"/>
              <w:right w:val="single" w:color="auto" w:sz="4" w:space="0"/>
            </w:tcBorders>
            <w:shd w:val="clear" w:color="auto" w:fill="auto"/>
            <w:vAlign w:val="center"/>
          </w:tcPr>
          <w:p w14:paraId="41C0AAB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产出指标</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14:paraId="05BAA3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1850" w:type="dxa"/>
            <w:tcBorders>
              <w:top w:val="single" w:color="auto" w:sz="4" w:space="0"/>
              <w:left w:val="single" w:color="auto" w:sz="4" w:space="0"/>
              <w:bottom w:val="single" w:color="auto" w:sz="4" w:space="0"/>
              <w:right w:val="single" w:color="auto" w:sz="4" w:space="0"/>
            </w:tcBorders>
            <w:shd w:val="clear" w:color="auto" w:fill="FFFFFF"/>
            <w:vAlign w:val="center"/>
          </w:tcPr>
          <w:p w14:paraId="00F303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“粮+菜”种植面积</w:t>
            </w:r>
          </w:p>
        </w:tc>
        <w:tc>
          <w:tcPr>
            <w:tcW w:w="1378" w:type="dxa"/>
            <w:tcBorders>
              <w:top w:val="single" w:color="auto" w:sz="4" w:space="0"/>
              <w:left w:val="single" w:color="auto" w:sz="4" w:space="0"/>
              <w:bottom w:val="single" w:color="auto" w:sz="4" w:space="0"/>
              <w:right w:val="single" w:color="auto" w:sz="4" w:space="0"/>
            </w:tcBorders>
            <w:shd w:val="clear" w:color="auto" w:fill="auto"/>
            <w:vAlign w:val="center"/>
          </w:tcPr>
          <w:p w14:paraId="64B7F9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271" w:type="dxa"/>
            <w:tcBorders>
              <w:top w:val="single" w:color="auto" w:sz="4" w:space="0"/>
              <w:left w:val="single" w:color="auto" w:sz="4" w:space="0"/>
              <w:bottom w:val="single" w:color="auto" w:sz="4" w:space="0"/>
              <w:right w:val="single" w:color="auto" w:sz="4" w:space="0"/>
            </w:tcBorders>
            <w:shd w:val="clear" w:color="auto" w:fill="auto"/>
            <w:vAlign w:val="center"/>
          </w:tcPr>
          <w:p w14:paraId="457DE8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20000</w:t>
            </w:r>
          </w:p>
        </w:tc>
        <w:tc>
          <w:tcPr>
            <w:tcW w:w="138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AEBA8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亩</w:t>
            </w:r>
          </w:p>
        </w:tc>
        <w:tc>
          <w:tcPr>
            <w:tcW w:w="2321" w:type="dxa"/>
            <w:tcBorders>
              <w:top w:val="single" w:color="auto" w:sz="4" w:space="0"/>
              <w:left w:val="single" w:color="auto" w:sz="4" w:space="0"/>
              <w:bottom w:val="single" w:color="auto" w:sz="4" w:space="0"/>
              <w:right w:val="single" w:color="auto" w:sz="4" w:space="0"/>
            </w:tcBorders>
            <w:shd w:val="clear" w:color="auto" w:fill="auto"/>
            <w:vAlign w:val="center"/>
          </w:tcPr>
          <w:p w14:paraId="69678C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反映本项目实施后，种植“稻+菜”面积情况</w:t>
            </w: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62044E9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评分标准：“稻+菜”种植面积≥20000亩，得满分，每少100亩，扣1分，扣完为止。</w:t>
            </w:r>
          </w:p>
        </w:tc>
      </w:tr>
      <w:tr w14:paraId="68571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2" w:hRule="atLeast"/>
          <w:jc w:val="center"/>
        </w:trPr>
        <w:tc>
          <w:tcPr>
            <w:tcW w:w="1586" w:type="dxa"/>
            <w:vMerge w:val="restart"/>
            <w:tcBorders>
              <w:top w:val="single" w:color="auto" w:sz="4" w:space="0"/>
              <w:left w:val="single" w:color="auto" w:sz="4" w:space="0"/>
              <w:right w:val="single" w:color="auto" w:sz="4" w:space="0"/>
            </w:tcBorders>
            <w:shd w:val="clear" w:color="auto" w:fill="auto"/>
            <w:vAlign w:val="center"/>
          </w:tcPr>
          <w:p w14:paraId="74BD4EA3">
            <w:pPr>
              <w:jc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产出指标</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14:paraId="285F49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1850" w:type="dxa"/>
            <w:tcBorders>
              <w:top w:val="single" w:color="auto" w:sz="4" w:space="0"/>
              <w:left w:val="single" w:color="auto" w:sz="4" w:space="0"/>
              <w:bottom w:val="single" w:color="auto" w:sz="4" w:space="0"/>
              <w:right w:val="single" w:color="auto" w:sz="4" w:space="0"/>
            </w:tcBorders>
            <w:shd w:val="clear" w:color="auto" w:fill="FFFFFF"/>
            <w:vAlign w:val="center"/>
          </w:tcPr>
          <w:p w14:paraId="3E0AE8D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基地建设验收合格率</w:t>
            </w:r>
          </w:p>
        </w:tc>
        <w:tc>
          <w:tcPr>
            <w:tcW w:w="1378" w:type="dxa"/>
            <w:tcBorders>
              <w:top w:val="single" w:color="auto" w:sz="4" w:space="0"/>
              <w:left w:val="single" w:color="auto" w:sz="4" w:space="0"/>
              <w:bottom w:val="single" w:color="auto" w:sz="4" w:space="0"/>
              <w:right w:val="single" w:color="auto" w:sz="4" w:space="0"/>
            </w:tcBorders>
            <w:shd w:val="clear" w:color="auto" w:fill="FFFFFF"/>
            <w:vAlign w:val="center"/>
          </w:tcPr>
          <w:p w14:paraId="1B4EBB2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w:t>
            </w:r>
          </w:p>
        </w:tc>
        <w:tc>
          <w:tcPr>
            <w:tcW w:w="1271" w:type="dxa"/>
            <w:tcBorders>
              <w:top w:val="single" w:color="auto" w:sz="4" w:space="0"/>
              <w:left w:val="single" w:color="auto" w:sz="4" w:space="0"/>
              <w:bottom w:val="single" w:color="auto" w:sz="4" w:space="0"/>
              <w:right w:val="single" w:color="auto" w:sz="4" w:space="0"/>
            </w:tcBorders>
            <w:shd w:val="clear" w:color="auto" w:fill="FFFFFF"/>
            <w:vAlign w:val="center"/>
          </w:tcPr>
          <w:p w14:paraId="16A771C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100</w:t>
            </w:r>
          </w:p>
        </w:tc>
        <w:tc>
          <w:tcPr>
            <w:tcW w:w="1387"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194BBC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w:t>
            </w:r>
          </w:p>
        </w:tc>
        <w:tc>
          <w:tcPr>
            <w:tcW w:w="2321" w:type="dxa"/>
            <w:tcBorders>
              <w:top w:val="single" w:color="auto" w:sz="4" w:space="0"/>
              <w:left w:val="single" w:color="auto" w:sz="4" w:space="0"/>
              <w:bottom w:val="single" w:color="auto" w:sz="4" w:space="0"/>
              <w:right w:val="single" w:color="auto" w:sz="4" w:space="0"/>
            </w:tcBorders>
            <w:shd w:val="clear" w:color="auto" w:fill="FFFFFF"/>
            <w:vAlign w:val="center"/>
          </w:tcPr>
          <w:p w14:paraId="73F1F75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反映是否验收完成2024年贵安新区发展“粮+菜”示范基地建设2万亩工作情况</w:t>
            </w:r>
          </w:p>
        </w:tc>
        <w:tc>
          <w:tcPr>
            <w:tcW w:w="3855" w:type="dxa"/>
            <w:tcBorders>
              <w:top w:val="single" w:color="auto" w:sz="4" w:space="0"/>
              <w:left w:val="single" w:color="auto" w:sz="4" w:space="0"/>
              <w:bottom w:val="single" w:color="auto" w:sz="4" w:space="0"/>
              <w:right w:val="single" w:color="auto" w:sz="4" w:space="0"/>
            </w:tcBorders>
            <w:shd w:val="clear" w:color="auto" w:fill="FFFFFF"/>
            <w:vAlign w:val="center"/>
          </w:tcPr>
          <w:p w14:paraId="46CC7F9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评分标准：基地建设验收合格率=100%，得满分，否则不得分。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基地建设验收合格率=已验收通过的基地亩数/总验收基地亩数</w:t>
            </w:r>
          </w:p>
        </w:tc>
      </w:tr>
      <w:tr w14:paraId="51277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0" w:hRule="atLeast"/>
          <w:jc w:val="center"/>
        </w:trPr>
        <w:tc>
          <w:tcPr>
            <w:tcW w:w="1586" w:type="dxa"/>
            <w:vMerge w:val="continue"/>
            <w:tcBorders>
              <w:left w:val="single" w:color="auto" w:sz="4" w:space="0"/>
              <w:right w:val="single" w:color="auto" w:sz="4" w:space="0"/>
            </w:tcBorders>
            <w:shd w:val="clear" w:color="auto" w:fill="auto"/>
            <w:vAlign w:val="center"/>
          </w:tcPr>
          <w:p w14:paraId="437951A4">
            <w:pPr>
              <w:jc w:val="center"/>
              <w:rPr>
                <w:rFonts w:hint="eastAsia" w:ascii="宋体" w:hAnsi="宋体" w:eastAsia="宋体" w:cs="宋体"/>
                <w:b/>
                <w:bCs/>
                <w:i w:val="0"/>
                <w:iCs w:val="0"/>
                <w:color w:val="000000"/>
                <w:sz w:val="20"/>
                <w:szCs w:val="20"/>
                <w:u w:val="none"/>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14:paraId="238B26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1850" w:type="dxa"/>
            <w:tcBorders>
              <w:top w:val="single" w:color="auto" w:sz="4" w:space="0"/>
              <w:left w:val="single" w:color="auto" w:sz="4" w:space="0"/>
              <w:bottom w:val="single" w:color="auto" w:sz="4" w:space="0"/>
              <w:right w:val="single" w:color="auto" w:sz="4" w:space="0"/>
            </w:tcBorders>
            <w:shd w:val="clear" w:color="auto" w:fill="FFFFFF"/>
            <w:vAlign w:val="center"/>
          </w:tcPr>
          <w:p w14:paraId="5C4E062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基地建设完工及时性</w:t>
            </w:r>
          </w:p>
        </w:tc>
        <w:tc>
          <w:tcPr>
            <w:tcW w:w="1378" w:type="dxa"/>
            <w:tcBorders>
              <w:top w:val="single" w:color="auto" w:sz="4" w:space="0"/>
              <w:left w:val="single" w:color="auto" w:sz="4" w:space="0"/>
              <w:bottom w:val="single" w:color="auto" w:sz="4" w:space="0"/>
              <w:right w:val="single" w:color="auto" w:sz="4" w:space="0"/>
            </w:tcBorders>
            <w:shd w:val="clear" w:color="auto" w:fill="FFFFFF"/>
            <w:vAlign w:val="center"/>
          </w:tcPr>
          <w:p w14:paraId="4CE4832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定性</w:t>
            </w:r>
          </w:p>
        </w:tc>
        <w:tc>
          <w:tcPr>
            <w:tcW w:w="1271" w:type="dxa"/>
            <w:tcBorders>
              <w:top w:val="single" w:color="auto" w:sz="4" w:space="0"/>
              <w:left w:val="single" w:color="auto" w:sz="4" w:space="0"/>
              <w:bottom w:val="single" w:color="auto" w:sz="4" w:space="0"/>
              <w:right w:val="single" w:color="auto" w:sz="4" w:space="0"/>
            </w:tcBorders>
            <w:shd w:val="clear" w:color="auto" w:fill="FFFFFF"/>
            <w:vAlign w:val="center"/>
          </w:tcPr>
          <w:p w14:paraId="37BED14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及时</w:t>
            </w:r>
          </w:p>
        </w:tc>
        <w:tc>
          <w:tcPr>
            <w:tcW w:w="1387"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22DCBD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21" w:type="dxa"/>
            <w:tcBorders>
              <w:top w:val="single" w:color="auto" w:sz="4" w:space="0"/>
              <w:left w:val="single" w:color="auto" w:sz="4" w:space="0"/>
              <w:bottom w:val="single" w:color="auto" w:sz="4" w:space="0"/>
              <w:right w:val="single" w:color="auto" w:sz="4" w:space="0"/>
            </w:tcBorders>
            <w:shd w:val="clear" w:color="auto" w:fill="FFFFFF"/>
            <w:vAlign w:val="center"/>
          </w:tcPr>
          <w:p w14:paraId="4A0CBAB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反映项目是否在2025年6月前完工。</w:t>
            </w:r>
          </w:p>
        </w:tc>
        <w:tc>
          <w:tcPr>
            <w:tcW w:w="3855" w:type="dxa"/>
            <w:tcBorders>
              <w:top w:val="single" w:color="auto" w:sz="4" w:space="0"/>
              <w:left w:val="single" w:color="auto" w:sz="4" w:space="0"/>
              <w:bottom w:val="single" w:color="auto" w:sz="4" w:space="0"/>
              <w:right w:val="single" w:color="auto" w:sz="4" w:space="0"/>
            </w:tcBorders>
            <w:shd w:val="clear" w:color="auto" w:fill="FFFFFF"/>
            <w:vAlign w:val="center"/>
          </w:tcPr>
          <w:p w14:paraId="276B137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评分标准：在2025年6月前完工，即及时，得满分，否则不得分。</w:t>
            </w:r>
          </w:p>
        </w:tc>
      </w:tr>
      <w:tr w14:paraId="31B48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8" w:hRule="atLeast"/>
          <w:jc w:val="center"/>
        </w:trPr>
        <w:tc>
          <w:tcPr>
            <w:tcW w:w="1586" w:type="dxa"/>
            <w:vMerge w:val="continue"/>
            <w:tcBorders>
              <w:left w:val="single" w:color="auto" w:sz="4" w:space="0"/>
              <w:right w:val="single" w:color="auto" w:sz="4" w:space="0"/>
            </w:tcBorders>
            <w:shd w:val="clear" w:color="auto" w:fill="auto"/>
            <w:vAlign w:val="center"/>
          </w:tcPr>
          <w:p w14:paraId="2B27C39F">
            <w:pPr>
              <w:jc w:val="center"/>
              <w:rPr>
                <w:rFonts w:hint="eastAsia" w:ascii="宋体" w:hAnsi="宋体" w:eastAsia="宋体" w:cs="宋体"/>
                <w:b/>
                <w:bCs/>
                <w:i w:val="0"/>
                <w:iCs w:val="0"/>
                <w:color w:val="000000"/>
                <w:sz w:val="20"/>
                <w:szCs w:val="20"/>
                <w:u w:val="none"/>
              </w:rPr>
            </w:pPr>
          </w:p>
        </w:tc>
        <w:tc>
          <w:tcPr>
            <w:tcW w:w="1366"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31F1EF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1850" w:type="dxa"/>
            <w:tcBorders>
              <w:top w:val="single" w:color="auto" w:sz="4" w:space="0"/>
              <w:left w:val="single" w:color="auto" w:sz="4" w:space="0"/>
              <w:bottom w:val="single" w:color="auto" w:sz="4" w:space="0"/>
              <w:right w:val="single" w:color="auto" w:sz="4" w:space="0"/>
            </w:tcBorders>
            <w:shd w:val="clear" w:color="auto" w:fill="FFFFFF"/>
            <w:vAlign w:val="center"/>
          </w:tcPr>
          <w:p w14:paraId="29B9815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“粮+菜”种植补助标准</w:t>
            </w:r>
          </w:p>
        </w:tc>
        <w:tc>
          <w:tcPr>
            <w:tcW w:w="1378" w:type="dxa"/>
            <w:tcBorders>
              <w:top w:val="single" w:color="auto" w:sz="4" w:space="0"/>
              <w:left w:val="single" w:color="auto" w:sz="4" w:space="0"/>
              <w:bottom w:val="single" w:color="auto" w:sz="4" w:space="0"/>
              <w:right w:val="single" w:color="auto" w:sz="4" w:space="0"/>
            </w:tcBorders>
            <w:shd w:val="clear" w:color="auto" w:fill="FFFFFF"/>
            <w:vAlign w:val="center"/>
          </w:tcPr>
          <w:p w14:paraId="4E91E2A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w:t>
            </w:r>
          </w:p>
        </w:tc>
        <w:tc>
          <w:tcPr>
            <w:tcW w:w="1271" w:type="dxa"/>
            <w:tcBorders>
              <w:top w:val="single" w:color="auto" w:sz="4" w:space="0"/>
              <w:left w:val="single" w:color="auto" w:sz="4" w:space="0"/>
              <w:bottom w:val="single" w:color="auto" w:sz="4" w:space="0"/>
              <w:right w:val="single" w:color="auto" w:sz="4" w:space="0"/>
            </w:tcBorders>
            <w:shd w:val="clear" w:color="auto" w:fill="FFFFFF"/>
            <w:vAlign w:val="center"/>
          </w:tcPr>
          <w:p w14:paraId="7CD5751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100</w:t>
            </w:r>
          </w:p>
        </w:tc>
        <w:tc>
          <w:tcPr>
            <w:tcW w:w="1387"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A6112E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元/亩</w:t>
            </w:r>
          </w:p>
        </w:tc>
        <w:tc>
          <w:tcPr>
            <w:tcW w:w="2321" w:type="dxa"/>
            <w:tcBorders>
              <w:top w:val="single" w:color="auto" w:sz="4" w:space="0"/>
              <w:left w:val="single" w:color="auto" w:sz="4" w:space="0"/>
              <w:bottom w:val="single" w:color="auto" w:sz="4" w:space="0"/>
              <w:right w:val="single" w:color="auto" w:sz="4" w:space="0"/>
            </w:tcBorders>
            <w:shd w:val="clear" w:color="auto" w:fill="FFFFFF"/>
            <w:vAlign w:val="center"/>
          </w:tcPr>
          <w:p w14:paraId="6ADF5E3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反映项目支持2万亩“粮+菜”种植，按100元/亩标准补助的任务是否实现</w:t>
            </w:r>
          </w:p>
        </w:tc>
        <w:tc>
          <w:tcPr>
            <w:tcW w:w="3855" w:type="dxa"/>
            <w:tcBorders>
              <w:top w:val="single" w:color="auto" w:sz="4" w:space="0"/>
              <w:left w:val="single" w:color="auto" w:sz="4" w:space="0"/>
              <w:bottom w:val="single" w:color="auto" w:sz="4" w:space="0"/>
              <w:right w:val="single" w:color="auto" w:sz="4" w:space="0"/>
            </w:tcBorders>
            <w:shd w:val="clear" w:color="auto" w:fill="FFFFFF"/>
            <w:vAlign w:val="center"/>
          </w:tcPr>
          <w:p w14:paraId="2159AC5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评分标准：“粮+菜”种植补助标准=100元/亩，得满分，否则不得分。</w:t>
            </w:r>
          </w:p>
        </w:tc>
      </w:tr>
      <w:tr w14:paraId="65A22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2" w:hRule="atLeast"/>
          <w:jc w:val="center"/>
        </w:trPr>
        <w:tc>
          <w:tcPr>
            <w:tcW w:w="1586" w:type="dxa"/>
            <w:vMerge w:val="continue"/>
            <w:tcBorders>
              <w:left w:val="single" w:color="auto" w:sz="4" w:space="0"/>
              <w:right w:val="single" w:color="auto" w:sz="4" w:space="0"/>
            </w:tcBorders>
            <w:shd w:val="clear" w:color="auto" w:fill="auto"/>
            <w:vAlign w:val="center"/>
          </w:tcPr>
          <w:p w14:paraId="4D5293D9">
            <w:pPr>
              <w:jc w:val="center"/>
              <w:rPr>
                <w:rFonts w:hint="eastAsia" w:ascii="宋体" w:hAnsi="宋体" w:eastAsia="宋体" w:cs="宋体"/>
                <w:b/>
                <w:bCs/>
                <w:i w:val="0"/>
                <w:iCs w:val="0"/>
                <w:color w:val="000000"/>
                <w:sz w:val="20"/>
                <w:szCs w:val="20"/>
                <w:u w:val="none"/>
              </w:rPr>
            </w:pPr>
          </w:p>
        </w:tc>
        <w:tc>
          <w:tcPr>
            <w:tcW w:w="1366"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38A0136">
            <w:pPr>
              <w:jc w:val="center"/>
              <w:rPr>
                <w:rFonts w:hint="eastAsia" w:ascii="宋体" w:hAnsi="宋体" w:eastAsia="宋体" w:cs="宋体"/>
                <w:i w:val="0"/>
                <w:iCs w:val="0"/>
                <w:color w:val="000000"/>
                <w:sz w:val="20"/>
                <w:szCs w:val="20"/>
                <w:u w:val="none"/>
              </w:rPr>
            </w:pPr>
          </w:p>
        </w:tc>
        <w:tc>
          <w:tcPr>
            <w:tcW w:w="1850" w:type="dxa"/>
            <w:tcBorders>
              <w:top w:val="single" w:color="auto" w:sz="4" w:space="0"/>
              <w:left w:val="single" w:color="auto" w:sz="4" w:space="0"/>
              <w:bottom w:val="single" w:color="auto" w:sz="4" w:space="0"/>
              <w:right w:val="single" w:color="auto" w:sz="4" w:space="0"/>
            </w:tcBorders>
            <w:shd w:val="clear" w:color="auto" w:fill="FFFFFF"/>
            <w:vAlign w:val="center"/>
          </w:tcPr>
          <w:p w14:paraId="3B2F736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胡豆种植补助标准</w:t>
            </w:r>
          </w:p>
        </w:tc>
        <w:tc>
          <w:tcPr>
            <w:tcW w:w="1378" w:type="dxa"/>
            <w:tcBorders>
              <w:top w:val="single" w:color="auto" w:sz="4" w:space="0"/>
              <w:left w:val="single" w:color="auto" w:sz="4" w:space="0"/>
              <w:bottom w:val="single" w:color="auto" w:sz="4" w:space="0"/>
              <w:right w:val="single" w:color="auto" w:sz="4" w:space="0"/>
            </w:tcBorders>
            <w:shd w:val="clear" w:color="auto" w:fill="FFFFFF"/>
            <w:vAlign w:val="center"/>
          </w:tcPr>
          <w:p w14:paraId="7C3EC94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w:t>
            </w:r>
          </w:p>
        </w:tc>
        <w:tc>
          <w:tcPr>
            <w:tcW w:w="1271" w:type="dxa"/>
            <w:tcBorders>
              <w:top w:val="single" w:color="auto" w:sz="4" w:space="0"/>
              <w:left w:val="single" w:color="auto" w:sz="4" w:space="0"/>
              <w:bottom w:val="single" w:color="auto" w:sz="4" w:space="0"/>
              <w:right w:val="single" w:color="auto" w:sz="4" w:space="0"/>
            </w:tcBorders>
            <w:shd w:val="clear" w:color="auto" w:fill="FFFFFF"/>
            <w:vAlign w:val="center"/>
          </w:tcPr>
          <w:p w14:paraId="307F11C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150</w:t>
            </w:r>
          </w:p>
        </w:tc>
        <w:tc>
          <w:tcPr>
            <w:tcW w:w="1387"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06310A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元/亩</w:t>
            </w:r>
          </w:p>
        </w:tc>
        <w:tc>
          <w:tcPr>
            <w:tcW w:w="2321" w:type="dxa"/>
            <w:tcBorders>
              <w:top w:val="single" w:color="auto" w:sz="4" w:space="0"/>
              <w:left w:val="single" w:color="auto" w:sz="4" w:space="0"/>
              <w:bottom w:val="single" w:color="auto" w:sz="4" w:space="0"/>
              <w:right w:val="single" w:color="auto" w:sz="4" w:space="0"/>
            </w:tcBorders>
            <w:shd w:val="clear" w:color="auto" w:fill="FFFFFF"/>
            <w:vAlign w:val="center"/>
          </w:tcPr>
          <w:p w14:paraId="494CC15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反映项目中胡豆种植是否按照150元/亩对胡豆种植进行补助</w:t>
            </w:r>
          </w:p>
        </w:tc>
        <w:tc>
          <w:tcPr>
            <w:tcW w:w="3855" w:type="dxa"/>
            <w:tcBorders>
              <w:top w:val="single" w:color="auto" w:sz="4" w:space="0"/>
              <w:left w:val="single" w:color="auto" w:sz="4" w:space="0"/>
              <w:bottom w:val="single" w:color="auto" w:sz="4" w:space="0"/>
              <w:right w:val="single" w:color="auto" w:sz="4" w:space="0"/>
            </w:tcBorders>
            <w:shd w:val="clear" w:color="auto" w:fill="FFFFFF"/>
            <w:vAlign w:val="center"/>
          </w:tcPr>
          <w:p w14:paraId="1A28E93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评分标准：胡豆种植补助标准=150元/亩，得满分，否则不得分。</w:t>
            </w:r>
          </w:p>
        </w:tc>
      </w:tr>
      <w:tr w14:paraId="16166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2" w:hRule="atLeast"/>
          <w:jc w:val="center"/>
        </w:trPr>
        <w:tc>
          <w:tcPr>
            <w:tcW w:w="1586" w:type="dxa"/>
            <w:vMerge w:val="continue"/>
            <w:tcBorders>
              <w:left w:val="single" w:color="auto" w:sz="4" w:space="0"/>
              <w:bottom w:val="single" w:color="auto" w:sz="4" w:space="0"/>
              <w:right w:val="single" w:color="auto" w:sz="4" w:space="0"/>
            </w:tcBorders>
            <w:shd w:val="clear" w:color="auto" w:fill="auto"/>
            <w:vAlign w:val="center"/>
          </w:tcPr>
          <w:p w14:paraId="15FFAC48">
            <w:pPr>
              <w:jc w:val="center"/>
              <w:rPr>
                <w:rFonts w:hint="eastAsia" w:ascii="宋体" w:hAnsi="宋体" w:eastAsia="宋体" w:cs="宋体"/>
                <w:b/>
                <w:bCs/>
                <w:i w:val="0"/>
                <w:iCs w:val="0"/>
                <w:color w:val="000000"/>
                <w:sz w:val="20"/>
                <w:szCs w:val="20"/>
                <w:u w:val="none"/>
              </w:rPr>
            </w:pPr>
          </w:p>
        </w:tc>
        <w:tc>
          <w:tcPr>
            <w:tcW w:w="1366"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32642C96">
            <w:pPr>
              <w:jc w:val="center"/>
              <w:rPr>
                <w:rFonts w:hint="eastAsia" w:ascii="宋体" w:hAnsi="宋体" w:eastAsia="宋体" w:cs="宋体"/>
                <w:i w:val="0"/>
                <w:iCs w:val="0"/>
                <w:color w:val="000000"/>
                <w:sz w:val="20"/>
                <w:szCs w:val="20"/>
                <w:u w:val="none"/>
              </w:rPr>
            </w:pPr>
          </w:p>
        </w:tc>
        <w:tc>
          <w:tcPr>
            <w:tcW w:w="1850" w:type="dxa"/>
            <w:tcBorders>
              <w:top w:val="single" w:color="auto" w:sz="4" w:space="0"/>
              <w:left w:val="single" w:color="auto" w:sz="4" w:space="0"/>
              <w:bottom w:val="single" w:color="auto" w:sz="4" w:space="0"/>
              <w:right w:val="single" w:color="auto" w:sz="4" w:space="0"/>
            </w:tcBorders>
            <w:shd w:val="clear" w:color="auto" w:fill="FFFFFF"/>
            <w:vAlign w:val="center"/>
          </w:tcPr>
          <w:p w14:paraId="08C265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项目或定额成本控制率</w:t>
            </w:r>
          </w:p>
        </w:tc>
        <w:tc>
          <w:tcPr>
            <w:tcW w:w="1378" w:type="dxa"/>
            <w:tcBorders>
              <w:top w:val="single" w:color="auto" w:sz="4" w:space="0"/>
              <w:left w:val="single" w:color="auto" w:sz="4" w:space="0"/>
              <w:bottom w:val="single" w:color="auto" w:sz="4" w:space="0"/>
              <w:right w:val="single" w:color="auto" w:sz="4" w:space="0"/>
            </w:tcBorders>
            <w:shd w:val="clear" w:color="auto" w:fill="FFFFFF"/>
            <w:vAlign w:val="center"/>
          </w:tcPr>
          <w:p w14:paraId="38E73C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271" w:type="dxa"/>
            <w:tcBorders>
              <w:top w:val="single" w:color="auto" w:sz="4" w:space="0"/>
              <w:left w:val="single" w:color="auto" w:sz="4" w:space="0"/>
              <w:bottom w:val="single" w:color="auto" w:sz="4" w:space="0"/>
              <w:right w:val="single" w:color="auto" w:sz="4" w:space="0"/>
            </w:tcBorders>
            <w:shd w:val="clear" w:color="auto" w:fill="FFFFFF"/>
            <w:vAlign w:val="center"/>
          </w:tcPr>
          <w:p w14:paraId="48252D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387"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3936F4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321" w:type="dxa"/>
            <w:tcBorders>
              <w:top w:val="single" w:color="auto" w:sz="4" w:space="0"/>
              <w:left w:val="single" w:color="auto" w:sz="4" w:space="0"/>
              <w:bottom w:val="single" w:color="auto" w:sz="4" w:space="0"/>
              <w:right w:val="single" w:color="auto" w:sz="4" w:space="0"/>
            </w:tcBorders>
            <w:shd w:val="clear" w:color="auto" w:fill="FFFFFF"/>
            <w:vAlign w:val="center"/>
          </w:tcPr>
          <w:p w14:paraId="4C9585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反映本项目总成本控制情况</w:t>
            </w:r>
          </w:p>
        </w:tc>
        <w:tc>
          <w:tcPr>
            <w:tcW w:w="3855" w:type="dxa"/>
            <w:tcBorders>
              <w:top w:val="single" w:color="auto" w:sz="4" w:space="0"/>
              <w:left w:val="single" w:color="auto" w:sz="4" w:space="0"/>
              <w:bottom w:val="single" w:color="auto" w:sz="4" w:space="0"/>
              <w:right w:val="single" w:color="auto" w:sz="4" w:space="0"/>
            </w:tcBorders>
            <w:shd w:val="clear" w:color="auto" w:fill="FFFFFF"/>
            <w:vAlign w:val="center"/>
          </w:tcPr>
          <w:p w14:paraId="0650E5F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评分标准：定额成本控制率≤100%，得满分，否则不得分。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定额成本控制率=本项目年度执行数/本项目总预算数。</w:t>
            </w:r>
          </w:p>
        </w:tc>
      </w:tr>
      <w:tr w14:paraId="39382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8" w:hRule="atLeast"/>
          <w:jc w:val="center"/>
        </w:trPr>
        <w:tc>
          <w:tcPr>
            <w:tcW w:w="158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4DCFCA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效益指标</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14:paraId="34B186C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社会效益指标</w:t>
            </w:r>
          </w:p>
        </w:tc>
        <w:tc>
          <w:tcPr>
            <w:tcW w:w="1850" w:type="dxa"/>
            <w:tcBorders>
              <w:top w:val="single" w:color="auto" w:sz="4" w:space="0"/>
              <w:left w:val="single" w:color="auto" w:sz="4" w:space="0"/>
              <w:bottom w:val="single" w:color="auto" w:sz="4" w:space="0"/>
              <w:right w:val="single" w:color="auto" w:sz="4" w:space="0"/>
            </w:tcBorders>
            <w:shd w:val="clear" w:color="auto" w:fill="FFFFFF"/>
            <w:vAlign w:val="center"/>
          </w:tcPr>
          <w:p w14:paraId="307E0C5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扩大冬季蔬菜栽培规模</w:t>
            </w:r>
          </w:p>
        </w:tc>
        <w:tc>
          <w:tcPr>
            <w:tcW w:w="1378" w:type="dxa"/>
            <w:tcBorders>
              <w:top w:val="single" w:color="auto" w:sz="4" w:space="0"/>
              <w:left w:val="single" w:color="auto" w:sz="4" w:space="0"/>
              <w:bottom w:val="single" w:color="auto" w:sz="4" w:space="0"/>
              <w:right w:val="single" w:color="auto" w:sz="4" w:space="0"/>
            </w:tcBorders>
            <w:shd w:val="clear" w:color="auto" w:fill="FFFFFF"/>
            <w:vAlign w:val="center"/>
          </w:tcPr>
          <w:p w14:paraId="4EB45BB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定性</w:t>
            </w:r>
          </w:p>
        </w:tc>
        <w:tc>
          <w:tcPr>
            <w:tcW w:w="1271" w:type="dxa"/>
            <w:tcBorders>
              <w:top w:val="single" w:color="auto" w:sz="4" w:space="0"/>
              <w:left w:val="single" w:color="auto" w:sz="4" w:space="0"/>
              <w:bottom w:val="single" w:color="auto" w:sz="4" w:space="0"/>
              <w:right w:val="single" w:color="auto" w:sz="4" w:space="0"/>
            </w:tcBorders>
            <w:shd w:val="clear" w:color="auto" w:fill="FFFFFF"/>
            <w:vAlign w:val="center"/>
          </w:tcPr>
          <w:p w14:paraId="56C849A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扩大</w:t>
            </w:r>
          </w:p>
        </w:tc>
        <w:tc>
          <w:tcPr>
            <w:tcW w:w="1387"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582727B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p w14:paraId="2609F97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p w14:paraId="69568AC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21" w:type="dxa"/>
            <w:tcBorders>
              <w:top w:val="single" w:color="auto" w:sz="4" w:space="0"/>
              <w:left w:val="single" w:color="auto" w:sz="4" w:space="0"/>
              <w:bottom w:val="single" w:color="auto" w:sz="4" w:space="0"/>
              <w:right w:val="single" w:color="auto" w:sz="4" w:space="0"/>
            </w:tcBorders>
            <w:shd w:val="clear" w:color="auto" w:fill="FFFFFF"/>
            <w:vAlign w:val="center"/>
          </w:tcPr>
          <w:p w14:paraId="34FBE36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反映项目实施后，是否有扩大冬季蔬菜栽培规模</w:t>
            </w:r>
          </w:p>
        </w:tc>
        <w:tc>
          <w:tcPr>
            <w:tcW w:w="3855" w:type="dxa"/>
            <w:tcBorders>
              <w:top w:val="single" w:color="auto" w:sz="4" w:space="0"/>
              <w:left w:val="single" w:color="auto" w:sz="4" w:space="0"/>
              <w:bottom w:val="single" w:color="auto" w:sz="4" w:space="0"/>
              <w:right w:val="single" w:color="auto" w:sz="4" w:space="0"/>
            </w:tcBorders>
            <w:shd w:val="clear" w:color="auto" w:fill="FFFFFF"/>
            <w:vAlign w:val="center"/>
          </w:tcPr>
          <w:p w14:paraId="2EF968A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评分标准：较2023年秋冬蔬菜规模增加，得满分，否则不得分。</w:t>
            </w:r>
          </w:p>
        </w:tc>
      </w:tr>
      <w:tr w14:paraId="58D6C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jc w:val="center"/>
        </w:trPr>
        <w:tc>
          <w:tcPr>
            <w:tcW w:w="15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7BE5EED">
            <w:pPr>
              <w:jc w:val="center"/>
              <w:rPr>
                <w:rFonts w:hint="eastAsia" w:ascii="宋体" w:hAnsi="宋体" w:eastAsia="宋体" w:cs="宋体"/>
                <w:b/>
                <w:bCs/>
                <w:i w:val="0"/>
                <w:iCs w:val="0"/>
                <w:color w:val="000000"/>
                <w:sz w:val="20"/>
                <w:szCs w:val="20"/>
                <w:u w:val="none"/>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14:paraId="7CF5211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经济效益指标</w:t>
            </w:r>
          </w:p>
        </w:tc>
        <w:tc>
          <w:tcPr>
            <w:tcW w:w="1850" w:type="dxa"/>
            <w:tcBorders>
              <w:top w:val="single" w:color="auto" w:sz="4" w:space="0"/>
              <w:left w:val="single" w:color="auto" w:sz="4" w:space="0"/>
              <w:bottom w:val="single" w:color="auto" w:sz="4" w:space="0"/>
              <w:right w:val="single" w:color="auto" w:sz="4" w:space="0"/>
            </w:tcBorders>
            <w:shd w:val="clear" w:color="auto" w:fill="FFFFFF"/>
            <w:vAlign w:val="center"/>
          </w:tcPr>
          <w:p w14:paraId="795AFAF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促进蔬菜产业发展</w:t>
            </w:r>
          </w:p>
        </w:tc>
        <w:tc>
          <w:tcPr>
            <w:tcW w:w="1378" w:type="dxa"/>
            <w:tcBorders>
              <w:top w:val="single" w:color="auto" w:sz="4" w:space="0"/>
              <w:left w:val="single" w:color="auto" w:sz="4" w:space="0"/>
              <w:bottom w:val="single" w:color="auto" w:sz="4" w:space="0"/>
              <w:right w:val="single" w:color="auto" w:sz="4" w:space="0"/>
            </w:tcBorders>
            <w:shd w:val="clear" w:color="auto" w:fill="FFFFFF"/>
            <w:vAlign w:val="center"/>
          </w:tcPr>
          <w:p w14:paraId="5F0B844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定性</w:t>
            </w:r>
          </w:p>
        </w:tc>
        <w:tc>
          <w:tcPr>
            <w:tcW w:w="1271" w:type="dxa"/>
            <w:tcBorders>
              <w:top w:val="single" w:color="auto" w:sz="4" w:space="0"/>
              <w:left w:val="single" w:color="auto" w:sz="4" w:space="0"/>
              <w:bottom w:val="single" w:color="auto" w:sz="4" w:space="0"/>
              <w:right w:val="single" w:color="auto" w:sz="4" w:space="0"/>
            </w:tcBorders>
            <w:shd w:val="clear" w:color="auto" w:fill="FFFFFF"/>
            <w:vAlign w:val="center"/>
          </w:tcPr>
          <w:p w14:paraId="731C196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促进</w:t>
            </w:r>
          </w:p>
        </w:tc>
        <w:tc>
          <w:tcPr>
            <w:tcW w:w="1387"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825F4F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21" w:type="dxa"/>
            <w:tcBorders>
              <w:top w:val="single" w:color="auto" w:sz="4" w:space="0"/>
              <w:left w:val="single" w:color="auto" w:sz="4" w:space="0"/>
              <w:bottom w:val="single" w:color="auto" w:sz="4" w:space="0"/>
              <w:right w:val="single" w:color="auto" w:sz="4" w:space="0"/>
            </w:tcBorders>
            <w:shd w:val="clear" w:color="auto" w:fill="FFFFFF"/>
            <w:vAlign w:val="center"/>
          </w:tcPr>
          <w:p w14:paraId="360A689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反映项目实施后，对促进蔬菜产业发展的影响</w:t>
            </w:r>
          </w:p>
        </w:tc>
        <w:tc>
          <w:tcPr>
            <w:tcW w:w="3855" w:type="dxa"/>
            <w:tcBorders>
              <w:top w:val="single" w:color="auto" w:sz="4" w:space="0"/>
              <w:left w:val="single" w:color="auto" w:sz="4" w:space="0"/>
              <w:bottom w:val="single" w:color="auto" w:sz="4" w:space="0"/>
              <w:right w:val="single" w:color="auto" w:sz="4" w:space="0"/>
            </w:tcBorders>
            <w:shd w:val="clear" w:color="auto" w:fill="FFFFFF"/>
            <w:vAlign w:val="center"/>
          </w:tcPr>
          <w:p w14:paraId="20F6E4D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评分标准：较2023年秋冬蔬菜种植面积增加，得满分，否则不得分。</w:t>
            </w:r>
          </w:p>
        </w:tc>
      </w:tr>
      <w:tr w14:paraId="58A96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2" w:hRule="atLeast"/>
          <w:jc w:val="center"/>
        </w:trPr>
        <w:tc>
          <w:tcPr>
            <w:tcW w:w="1586" w:type="dxa"/>
            <w:tcBorders>
              <w:top w:val="single" w:color="auto" w:sz="4" w:space="0"/>
              <w:left w:val="single" w:color="auto" w:sz="4" w:space="0"/>
              <w:bottom w:val="single" w:color="auto" w:sz="4" w:space="0"/>
              <w:right w:val="single" w:color="auto" w:sz="4" w:space="0"/>
            </w:tcBorders>
            <w:shd w:val="clear" w:color="auto" w:fill="auto"/>
            <w:vAlign w:val="center"/>
          </w:tcPr>
          <w:p w14:paraId="5147184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满意度指标</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14:paraId="1ABFD3A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满意度指标</w:t>
            </w:r>
          </w:p>
        </w:tc>
        <w:tc>
          <w:tcPr>
            <w:tcW w:w="1850" w:type="dxa"/>
            <w:tcBorders>
              <w:top w:val="single" w:color="auto" w:sz="4" w:space="0"/>
              <w:left w:val="single" w:color="auto" w:sz="4" w:space="0"/>
              <w:bottom w:val="single" w:color="auto" w:sz="4" w:space="0"/>
              <w:right w:val="single" w:color="auto" w:sz="4" w:space="0"/>
            </w:tcBorders>
            <w:shd w:val="clear" w:color="auto" w:fill="FFFFFF"/>
            <w:vAlign w:val="center"/>
          </w:tcPr>
          <w:p w14:paraId="24CF742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群众满意度</w:t>
            </w:r>
          </w:p>
        </w:tc>
        <w:tc>
          <w:tcPr>
            <w:tcW w:w="1378" w:type="dxa"/>
            <w:tcBorders>
              <w:top w:val="single" w:color="auto" w:sz="4" w:space="0"/>
              <w:left w:val="single" w:color="auto" w:sz="4" w:space="0"/>
              <w:bottom w:val="single" w:color="auto" w:sz="4" w:space="0"/>
              <w:right w:val="single" w:color="auto" w:sz="4" w:space="0"/>
            </w:tcBorders>
            <w:shd w:val="clear" w:color="auto" w:fill="FFFFFF"/>
            <w:vAlign w:val="center"/>
          </w:tcPr>
          <w:p w14:paraId="14F8C2B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w:t>
            </w:r>
          </w:p>
        </w:tc>
        <w:tc>
          <w:tcPr>
            <w:tcW w:w="1271" w:type="dxa"/>
            <w:tcBorders>
              <w:top w:val="single" w:color="auto" w:sz="4" w:space="0"/>
              <w:left w:val="single" w:color="auto" w:sz="4" w:space="0"/>
              <w:bottom w:val="single" w:color="auto" w:sz="4" w:space="0"/>
              <w:right w:val="single" w:color="auto" w:sz="4" w:space="0"/>
            </w:tcBorders>
            <w:shd w:val="clear" w:color="auto" w:fill="FFFFFF"/>
            <w:vAlign w:val="center"/>
          </w:tcPr>
          <w:p w14:paraId="6D6B854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90</w:t>
            </w:r>
          </w:p>
        </w:tc>
        <w:tc>
          <w:tcPr>
            <w:tcW w:w="1387"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568A28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w:t>
            </w:r>
          </w:p>
        </w:tc>
        <w:tc>
          <w:tcPr>
            <w:tcW w:w="2321" w:type="dxa"/>
            <w:tcBorders>
              <w:top w:val="single" w:color="auto" w:sz="4" w:space="0"/>
              <w:left w:val="single" w:color="auto" w:sz="4" w:space="0"/>
              <w:bottom w:val="single" w:color="auto" w:sz="4" w:space="0"/>
              <w:right w:val="single" w:color="auto" w:sz="4" w:space="0"/>
            </w:tcBorders>
            <w:shd w:val="clear" w:color="auto" w:fill="FFFFFF"/>
            <w:vAlign w:val="center"/>
          </w:tcPr>
          <w:p w14:paraId="5D0B79A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反映项目实施后，群众对本项目的满意度情况</w:t>
            </w:r>
          </w:p>
        </w:tc>
        <w:tc>
          <w:tcPr>
            <w:tcW w:w="3855" w:type="dxa"/>
            <w:tcBorders>
              <w:top w:val="single" w:color="auto" w:sz="4" w:space="0"/>
              <w:left w:val="single" w:color="auto" w:sz="4" w:space="0"/>
              <w:bottom w:val="single" w:color="auto" w:sz="4" w:space="0"/>
              <w:right w:val="single" w:color="auto" w:sz="4" w:space="0"/>
            </w:tcBorders>
            <w:shd w:val="clear" w:color="auto" w:fill="FFFFFF"/>
            <w:vAlign w:val="center"/>
          </w:tcPr>
          <w:p w14:paraId="74123FC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评分标准：群众满意度≥90%，得满分，低于60%不得分。其他满意度得分=满意度*分值</w:t>
            </w:r>
          </w:p>
        </w:tc>
      </w:tr>
      <w:tr w14:paraId="3FD29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jc w:val="center"/>
        </w:trPr>
        <w:tc>
          <w:tcPr>
            <w:tcW w:w="1586" w:type="dxa"/>
            <w:tcBorders>
              <w:top w:val="single" w:color="auto" w:sz="4" w:space="0"/>
              <w:left w:val="single" w:color="000000" w:sz="4" w:space="0"/>
              <w:bottom w:val="single" w:color="000000" w:sz="4" w:space="0"/>
              <w:right w:val="single" w:color="000000" w:sz="4" w:space="0"/>
            </w:tcBorders>
            <w:shd w:val="clear" w:color="auto" w:fill="auto"/>
            <w:vAlign w:val="center"/>
          </w:tcPr>
          <w:p w14:paraId="305919C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联系人及电话</w:t>
            </w:r>
          </w:p>
        </w:tc>
        <w:tc>
          <w:tcPr>
            <w:tcW w:w="13428" w:type="dxa"/>
            <w:gridSpan w:val="8"/>
            <w:tcBorders>
              <w:top w:val="single" w:color="auto" w:sz="4" w:space="0"/>
              <w:left w:val="single" w:color="000000" w:sz="4" w:space="0"/>
              <w:bottom w:val="single" w:color="000000" w:sz="4" w:space="0"/>
              <w:right w:val="single" w:color="000000" w:sz="4" w:space="0"/>
            </w:tcBorders>
            <w:shd w:val="clear" w:color="auto" w:fill="FFFFFF"/>
            <w:vAlign w:val="center"/>
          </w:tcPr>
          <w:p w14:paraId="281C24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 xml:space="preserve"> </w:t>
            </w:r>
          </w:p>
        </w:tc>
      </w:tr>
      <w:tr w14:paraId="70F28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7" w:hRule="atLeast"/>
          <w:jc w:val="center"/>
        </w:trPr>
        <w:tc>
          <w:tcPr>
            <w:tcW w:w="15014" w:type="dxa"/>
            <w:gridSpan w:val="9"/>
            <w:tcBorders>
              <w:top w:val="nil"/>
              <w:left w:val="nil"/>
              <w:bottom w:val="nil"/>
              <w:right w:val="nil"/>
            </w:tcBorders>
            <w:shd w:val="clear" w:color="auto" w:fill="auto"/>
            <w:vAlign w:val="center"/>
          </w:tcPr>
          <w:p w14:paraId="36C8C7E2">
            <w:pPr>
              <w:keepNext w:val="0"/>
              <w:keepLines w:val="0"/>
              <w:widowControl/>
              <w:suppressLineNumbers w:val="0"/>
              <w:jc w:val="left"/>
              <w:textAlignment w:val="center"/>
              <w:rPr>
                <w:rFonts w:hint="eastAsia" w:ascii="宋体" w:hAnsi="宋体" w:eastAsia="宋体" w:cs="宋体"/>
                <w:b/>
                <w:bCs/>
                <w:i w:val="0"/>
                <w:iCs w:val="0"/>
                <w:color w:val="FF0000"/>
                <w:sz w:val="18"/>
                <w:szCs w:val="18"/>
                <w:u w:val="none"/>
              </w:rPr>
            </w:pPr>
          </w:p>
        </w:tc>
      </w:tr>
    </w:tbl>
    <w:p w14:paraId="6CADB987">
      <w:pPr>
        <w:rPr>
          <w:rFonts w:hint="eastAsia"/>
        </w:rPr>
      </w:pPr>
      <w:r>
        <w:rPr>
          <w:rFonts w:hint="eastAsia"/>
        </w:rPr>
        <w:br w:type="page"/>
      </w:r>
    </w:p>
    <w:p w14:paraId="214201E2">
      <w:pPr>
        <w:keepNext w:val="0"/>
        <w:keepLines w:val="0"/>
        <w:pageBreakBefore w:val="0"/>
        <w:widowControl w:val="0"/>
        <w:kinsoku/>
        <w:wordWrap/>
        <w:overflowPunct/>
        <w:topLinePunct w:val="0"/>
        <w:autoSpaceDE/>
        <w:autoSpaceDN/>
        <w:bidi w:val="0"/>
        <w:adjustRightInd/>
        <w:spacing w:line="550" w:lineRule="exact"/>
        <w:jc w:val="center"/>
        <w:textAlignment w:val="auto"/>
        <w:rPr>
          <w:rFonts w:hint="eastAsia" w:ascii="微软雅黑" w:hAnsi="微软雅黑" w:eastAsia="微软雅黑" w:cs="微软雅黑"/>
          <w:bCs/>
          <w:sz w:val="44"/>
          <w:szCs w:val="44"/>
          <w:lang w:eastAsia="zh-CN"/>
        </w:rPr>
      </w:pPr>
      <w:r>
        <w:rPr>
          <w:rFonts w:hint="eastAsia" w:ascii="微软雅黑" w:hAnsi="微软雅黑" w:eastAsia="微软雅黑" w:cs="微软雅黑"/>
          <w:bCs/>
          <w:sz w:val="44"/>
          <w:szCs w:val="44"/>
          <w:lang w:eastAsia="zh-CN"/>
        </w:rPr>
        <w:t>项目</w:t>
      </w:r>
      <w:r>
        <w:rPr>
          <w:rFonts w:hint="eastAsia" w:ascii="微软雅黑" w:hAnsi="微软雅黑" w:eastAsia="微软雅黑" w:cs="微软雅黑"/>
          <w:bCs/>
          <w:sz w:val="44"/>
          <w:szCs w:val="44"/>
          <w:lang w:val="en-US" w:eastAsia="zh-CN"/>
        </w:rPr>
        <w:t>4：</w:t>
      </w:r>
      <w:r>
        <w:rPr>
          <w:rFonts w:hint="eastAsia" w:ascii="微软雅黑" w:hAnsi="微软雅黑" w:eastAsia="微软雅黑" w:cs="微软雅黑"/>
          <w:bCs/>
          <w:sz w:val="44"/>
          <w:szCs w:val="44"/>
          <w:lang w:eastAsia="zh-CN"/>
        </w:rPr>
        <w:t>贵</w:t>
      </w:r>
      <w:r>
        <w:rPr>
          <w:rFonts w:hint="eastAsia" w:ascii="微软雅黑" w:hAnsi="微软雅黑" w:eastAsia="微软雅黑" w:cs="微软雅黑"/>
          <w:bCs/>
          <w:sz w:val="44"/>
          <w:szCs w:val="44"/>
          <w:lang w:val="en-US" w:eastAsia="zh-CN"/>
        </w:rPr>
        <w:t>安新区道路交通安全设施及智能交通管理系统保障</w:t>
      </w:r>
      <w:r>
        <w:rPr>
          <w:rFonts w:hint="eastAsia" w:ascii="微软雅黑" w:hAnsi="微软雅黑" w:eastAsia="微软雅黑" w:cs="微软雅黑"/>
          <w:bCs/>
          <w:sz w:val="44"/>
          <w:szCs w:val="44"/>
          <w:lang w:eastAsia="zh-CN"/>
        </w:rPr>
        <w:t>项目</w:t>
      </w:r>
    </w:p>
    <w:p w14:paraId="6651E458">
      <w:pPr>
        <w:spacing w:line="560" w:lineRule="exact"/>
        <w:jc w:val="center"/>
        <w:rPr>
          <w:rFonts w:ascii="楷体_GB2312" w:hAnsi="楷体_GB2312" w:eastAsia="楷体_GB2312" w:cs="楷体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贵安新区公安局交通警察支队</w:t>
      </w:r>
      <w:r>
        <w:rPr>
          <w:rFonts w:hint="eastAsia" w:ascii="楷体_GB2312" w:hAnsi="楷体_GB2312" w:eastAsia="楷体_GB2312" w:cs="楷体_GB2312"/>
          <w:sz w:val="32"/>
          <w:szCs w:val="32"/>
        </w:rPr>
        <w:t>）</w:t>
      </w:r>
    </w:p>
    <w:p w14:paraId="1C36C85D">
      <w:pPr>
        <w:spacing w:line="560" w:lineRule="exact"/>
        <w:ind w:firstLine="644" w:firstLineChars="200"/>
        <w:rPr>
          <w:rFonts w:ascii="华文仿宋" w:hAnsi="华文仿宋" w:eastAsia="华文仿宋" w:cs="Times New Roman"/>
          <w:sz w:val="32"/>
          <w:szCs w:val="32"/>
        </w:rPr>
      </w:pPr>
    </w:p>
    <w:p w14:paraId="6B471406">
      <w:pPr>
        <w:numPr>
          <w:ilvl w:val="0"/>
          <w:numId w:val="0"/>
        </w:numPr>
        <w:spacing w:line="560" w:lineRule="exact"/>
        <w:ind w:firstLine="644" w:firstLineChars="200"/>
        <w:rPr>
          <w:rFonts w:ascii="黑体" w:hAnsi="黑体" w:eastAsia="黑体" w:cs="Times New Roman"/>
          <w:sz w:val="32"/>
          <w:szCs w:val="32"/>
        </w:rPr>
      </w:pPr>
      <w:r>
        <w:rPr>
          <w:rFonts w:hint="eastAsia" w:ascii="黑体" w:hAnsi="黑体" w:eastAsia="黑体" w:cs="Times New Roman"/>
          <w:sz w:val="32"/>
          <w:szCs w:val="32"/>
          <w:lang w:eastAsia="zh-CN"/>
        </w:rPr>
        <w:t>一、</w:t>
      </w:r>
      <w:r>
        <w:rPr>
          <w:rFonts w:hint="eastAsia" w:ascii="黑体" w:hAnsi="黑体" w:eastAsia="黑体" w:cs="Times New Roman"/>
          <w:sz w:val="32"/>
          <w:szCs w:val="32"/>
        </w:rPr>
        <w:t>项目概述</w:t>
      </w:r>
    </w:p>
    <w:p w14:paraId="6E8E729D">
      <w:pPr>
        <w:keepNext w:val="0"/>
        <w:keepLines w:val="0"/>
        <w:pageBreakBefore w:val="0"/>
        <w:widowControl/>
        <w:kinsoku/>
        <w:wordWrap/>
        <w:overflowPunct/>
        <w:topLinePunct w:val="0"/>
        <w:autoSpaceDE/>
        <w:autoSpaceDN/>
        <w:bidi w:val="0"/>
        <w:spacing w:line="560" w:lineRule="exact"/>
        <w:ind w:left="0" w:firstLine="640"/>
        <w:textAlignment w:val="auto"/>
        <w:rPr>
          <w:rFonts w:ascii="仿宋_GB2312" w:eastAsia="仿宋_GB2312" w:cs="仿宋_GB2312"/>
          <w:sz w:val="32"/>
          <w:szCs w:val="32"/>
          <w:lang w:val="en-US" w:eastAsia="zh-CN"/>
        </w:rPr>
      </w:pPr>
      <w:r>
        <w:rPr>
          <w:rFonts w:hint="eastAsia" w:ascii="仿宋_GB2312" w:eastAsia="仿宋_GB2312" w:cs="仿宋_GB2312"/>
          <w:color w:val="000000"/>
          <w:sz w:val="32"/>
          <w:szCs w:val="32"/>
        </w:rPr>
        <w:t>为了贯彻落实党中央、国务院、贵州省委省政府、</w:t>
      </w:r>
      <w:r>
        <w:rPr>
          <w:rFonts w:hint="eastAsia" w:ascii="仿宋_GB2312" w:eastAsia="仿宋_GB2312" w:cs="仿宋_GB2312"/>
          <w:color w:val="000000"/>
          <w:sz w:val="32"/>
          <w:szCs w:val="32"/>
          <w:lang w:val="en-US" w:eastAsia="zh-CN"/>
        </w:rPr>
        <w:t>市委</w:t>
      </w:r>
      <w:r>
        <w:rPr>
          <w:rFonts w:hint="eastAsia" w:ascii="仿宋_GB2312" w:eastAsia="仿宋_GB2312" w:cs="仿宋_GB2312"/>
          <w:color w:val="000000"/>
          <w:sz w:val="32"/>
          <w:szCs w:val="32"/>
        </w:rPr>
        <w:t>市政府的重要部署和指示精神，全面推进贵阳贵安交通工程建设与应用，积极构建社会治安立体化防控体系，提高警务工作的动态化、信息化、扁平化、可视化水平，提高公安机关巡逻防范、基础管控、服务群众的能力和水平，提高群众出行满意度，因此</w:t>
      </w:r>
      <w:r>
        <w:rPr>
          <w:rFonts w:hint="eastAsia" w:ascii="仿宋_GB2312" w:eastAsia="仿宋_GB2312" w:cs="仿宋_GB2312"/>
          <w:color w:val="000000"/>
          <w:sz w:val="32"/>
          <w:szCs w:val="32"/>
          <w:lang w:val="en-US" w:eastAsia="zh-CN"/>
        </w:rPr>
        <w:t>对贵安新区的</w:t>
      </w:r>
      <w:r>
        <w:rPr>
          <w:rFonts w:hint="eastAsia" w:ascii="仿宋_GB2312" w:hAnsi="Calibri" w:eastAsia="仿宋_GB2312" w:cs="仿宋_GB2312"/>
          <w:b w:val="0"/>
          <w:bCs w:val="0"/>
          <w:color w:val="000000"/>
          <w:sz w:val="32"/>
          <w:szCs w:val="32"/>
          <w:lang w:val="en-US" w:eastAsia="zh-CN"/>
        </w:rPr>
        <w:t>交通信号控制系统</w:t>
      </w:r>
      <w:r>
        <w:rPr>
          <w:rFonts w:hint="eastAsia" w:ascii="仿宋_GB2312" w:eastAsia="仿宋_GB2312" w:cs="仿宋_GB2312"/>
          <w:color w:val="000000"/>
          <w:sz w:val="32"/>
          <w:szCs w:val="32"/>
          <w:lang w:val="en-US" w:eastAsia="zh-CN"/>
        </w:rPr>
        <w:t>实施有效的运维管理和智能交通系统管理的技术升级</w:t>
      </w:r>
      <w:r>
        <w:rPr>
          <w:rFonts w:hint="eastAsia" w:ascii="仿宋_GB2312" w:eastAsia="仿宋_GB2312" w:cs="仿宋_GB2312"/>
          <w:color w:val="000000"/>
          <w:sz w:val="32"/>
          <w:szCs w:val="32"/>
        </w:rPr>
        <w:t>是很有必要的。项目按照“统一标准、急用先行、分步实施”的建设思路，依托空间信息技术、工作流技术、计算机网络技术、无线通信技术等先进技术手段，立足政府信息化建设资源的共享，对提高</w:t>
      </w:r>
      <w:r>
        <w:rPr>
          <w:rFonts w:hint="eastAsia" w:ascii="仿宋_GB2312" w:eastAsia="仿宋_GB2312" w:cs="仿宋_GB2312"/>
          <w:color w:val="000000"/>
          <w:sz w:val="32"/>
          <w:szCs w:val="32"/>
          <w:lang w:val="en-US" w:eastAsia="zh-CN"/>
        </w:rPr>
        <w:t>政府治理</w:t>
      </w:r>
      <w:r>
        <w:rPr>
          <w:rFonts w:hint="eastAsia" w:ascii="仿宋_GB2312" w:eastAsia="仿宋_GB2312" w:cs="仿宋_GB2312"/>
          <w:color w:val="000000"/>
          <w:sz w:val="32"/>
          <w:szCs w:val="32"/>
        </w:rPr>
        <w:t>水平，提升城市</w:t>
      </w:r>
      <w:r>
        <w:rPr>
          <w:rFonts w:hint="eastAsia" w:ascii="仿宋_GB2312" w:eastAsia="仿宋_GB2312" w:cs="仿宋_GB2312"/>
          <w:color w:val="000000"/>
          <w:sz w:val="32"/>
          <w:szCs w:val="32"/>
          <w:lang w:val="en-US" w:eastAsia="zh-CN"/>
        </w:rPr>
        <w:t>形象</w:t>
      </w:r>
      <w:r>
        <w:rPr>
          <w:rFonts w:hint="eastAsia" w:ascii="仿宋_GB2312" w:eastAsia="仿宋_GB2312" w:cs="仿宋_GB2312"/>
          <w:color w:val="000000"/>
          <w:sz w:val="32"/>
          <w:szCs w:val="32"/>
        </w:rPr>
        <w:t>，构建和谐社会能起到</w:t>
      </w:r>
      <w:r>
        <w:rPr>
          <w:rFonts w:hint="eastAsia" w:ascii="仿宋_GB2312" w:eastAsia="仿宋_GB2312" w:cs="仿宋_GB2312"/>
          <w:color w:val="000000"/>
          <w:sz w:val="32"/>
          <w:szCs w:val="32"/>
          <w:lang w:val="en-US" w:eastAsia="zh-CN"/>
        </w:rPr>
        <w:t>较</w:t>
      </w:r>
      <w:r>
        <w:rPr>
          <w:rFonts w:hint="eastAsia" w:ascii="仿宋_GB2312" w:eastAsia="仿宋_GB2312" w:cs="仿宋_GB2312"/>
          <w:color w:val="000000"/>
          <w:sz w:val="32"/>
          <w:szCs w:val="32"/>
        </w:rPr>
        <w:t>大的推动作用。</w:t>
      </w:r>
      <w:r>
        <w:rPr>
          <w:rFonts w:hint="eastAsia" w:ascii="仿宋_GB2312" w:hAnsi="Calibri" w:eastAsia="仿宋_GB2312" w:cs="仿宋_GB2312"/>
          <w:b w:val="0"/>
          <w:bCs w:val="0"/>
          <w:color w:val="000000"/>
          <w:sz w:val="32"/>
          <w:szCs w:val="32"/>
          <w:lang w:val="en-US" w:eastAsia="zh-CN"/>
        </w:rPr>
        <w:t>贵安新区道路交通安全设施及智能交通管理系统保障项目</w:t>
      </w:r>
      <w:r>
        <w:rPr>
          <w:rFonts w:hint="eastAsia" w:ascii="仿宋_GB2312" w:eastAsia="仿宋_GB2312" w:cs="仿宋_GB2312"/>
          <w:color w:val="000000"/>
          <w:sz w:val="32"/>
          <w:szCs w:val="32"/>
        </w:rPr>
        <w:t>的实施落地，将加强贵安新区</w:t>
      </w:r>
      <w:r>
        <w:rPr>
          <w:rFonts w:hint="eastAsia" w:ascii="仿宋_GB2312" w:eastAsia="仿宋_GB2312" w:cs="仿宋_GB2312"/>
          <w:color w:val="000000"/>
          <w:sz w:val="32"/>
          <w:szCs w:val="32"/>
          <w:lang w:val="en-US" w:eastAsia="zh-CN"/>
        </w:rPr>
        <w:t>交通信号设施和路网监控系统健康有效运行，对交通安全设施提供运维保障，为新区</w:t>
      </w:r>
      <w:r>
        <w:rPr>
          <w:rFonts w:hint="eastAsia" w:ascii="仿宋_GB2312" w:eastAsia="仿宋_GB2312" w:cs="仿宋_GB2312"/>
          <w:color w:val="000000"/>
          <w:sz w:val="32"/>
          <w:szCs w:val="32"/>
          <w:lang w:eastAsia="zh-CN"/>
        </w:rPr>
        <w:t>经济社会发展</w:t>
      </w:r>
      <w:r>
        <w:rPr>
          <w:rFonts w:hint="eastAsia" w:ascii="仿宋_GB2312" w:eastAsia="仿宋_GB2312" w:cs="仿宋_GB2312"/>
          <w:color w:val="000000"/>
          <w:sz w:val="32"/>
          <w:szCs w:val="32"/>
        </w:rPr>
        <w:t>提供安全有序的交通畅通环境。</w:t>
      </w:r>
      <w:r>
        <w:rPr>
          <w:rFonts w:hint="eastAsia" w:ascii="仿宋_GB2312" w:eastAsia="仿宋_GB2312" w:cs="仿宋_GB2312"/>
          <w:color w:val="000000"/>
          <w:sz w:val="32"/>
          <w:szCs w:val="32"/>
          <w:lang w:val="en-US" w:eastAsia="zh-CN"/>
        </w:rPr>
        <w:t>本项目预算资金</w:t>
      </w:r>
      <w:r>
        <w:rPr>
          <w:rFonts w:hint="eastAsia" w:ascii="仿宋_GB2312" w:hAnsi="Calibri" w:eastAsia="仿宋_GB2312" w:cs="仿宋_GB2312"/>
          <w:color w:val="000000"/>
          <w:sz w:val="32"/>
          <w:szCs w:val="32"/>
          <w:lang w:val="en-US" w:eastAsia="zh-CN"/>
        </w:rPr>
        <w:t>90</w:t>
      </w:r>
      <w:r>
        <w:rPr>
          <w:rFonts w:hint="eastAsia" w:ascii="仿宋_GB2312" w:eastAsia="仿宋_GB2312" w:cs="仿宋_GB2312"/>
          <w:color w:val="000000"/>
          <w:sz w:val="32"/>
          <w:szCs w:val="32"/>
          <w:lang w:val="en-US" w:eastAsia="zh-CN"/>
        </w:rPr>
        <w:t>万元。</w:t>
      </w:r>
    </w:p>
    <w:p w14:paraId="2A5BBCA0">
      <w:pPr>
        <w:numPr>
          <w:ilvl w:val="0"/>
          <w:numId w:val="0"/>
        </w:numPr>
        <w:spacing w:line="560" w:lineRule="exact"/>
        <w:ind w:firstLine="644" w:firstLineChars="200"/>
        <w:rPr>
          <w:rFonts w:ascii="黑体" w:hAnsi="黑体" w:eastAsia="黑体" w:cs="Times New Roman"/>
          <w:sz w:val="32"/>
          <w:szCs w:val="32"/>
        </w:rPr>
      </w:pPr>
      <w:r>
        <w:rPr>
          <w:rFonts w:hint="eastAsia" w:ascii="黑体" w:hAnsi="黑体" w:eastAsia="黑体" w:cs="Times New Roman"/>
          <w:sz w:val="32"/>
          <w:szCs w:val="32"/>
          <w:lang w:eastAsia="zh-CN"/>
        </w:rPr>
        <w:t>二、</w:t>
      </w:r>
      <w:r>
        <w:rPr>
          <w:rFonts w:hint="eastAsia" w:ascii="黑体" w:hAnsi="黑体" w:eastAsia="黑体" w:cs="Times New Roman"/>
          <w:sz w:val="32"/>
          <w:szCs w:val="32"/>
        </w:rPr>
        <w:t>立项依据</w:t>
      </w:r>
    </w:p>
    <w:p w14:paraId="2E2331C7">
      <w:pPr>
        <w:keepNext w:val="0"/>
        <w:keepLines w:val="0"/>
        <w:pageBreakBefore w:val="0"/>
        <w:widowControl w:val="0"/>
        <w:kinsoku/>
        <w:wordWrap/>
        <w:overflowPunct/>
        <w:topLinePunct w:val="0"/>
        <w:autoSpaceDE/>
        <w:autoSpaceDN/>
        <w:bidi w:val="0"/>
        <w:adjustRightInd w:val="0"/>
        <w:snapToGrid w:val="0"/>
        <w:spacing w:after="0" w:afterLines="0" w:line="560" w:lineRule="exact"/>
        <w:ind w:left="0" w:firstLine="644" w:firstLineChars="200"/>
        <w:jc w:val="both"/>
        <w:textAlignment w:val="auto"/>
        <w:outlineLvl w:val="3"/>
        <w:rPr>
          <w:rFonts w:hint="eastAsia" w:ascii="仿宋_GB2312" w:hAnsi="Calibri" w:eastAsia="仿宋_GB2312" w:cs="仿宋_GB2312"/>
          <w:color w:val="000000"/>
          <w:kern w:val="2"/>
          <w:sz w:val="32"/>
          <w:szCs w:val="32"/>
          <w:lang w:val="en-US" w:eastAsia="zh-CN" w:bidi="ar-SA"/>
        </w:rPr>
      </w:pPr>
      <w:r>
        <w:rPr>
          <w:rFonts w:hint="eastAsia" w:ascii="仿宋_GB2312" w:hAnsi="Calibri" w:eastAsia="仿宋_GB2312" w:cs="仿宋_GB2312"/>
          <w:color w:val="000000"/>
          <w:kern w:val="2"/>
          <w:sz w:val="32"/>
          <w:szCs w:val="32"/>
          <w:lang w:val="en-US" w:eastAsia="zh-CN" w:bidi="ar-SA"/>
        </w:rPr>
        <w:t>根据贵州省公安厅交通管理局</w:t>
      </w:r>
      <w:r>
        <w:rPr>
          <w:rFonts w:hint="eastAsia" w:ascii="仿宋_GB2312" w:hAnsi="仿宋_GB2312" w:eastAsia="仿宋_GB2312" w:cs="仿宋_GB2312"/>
          <w:color w:val="000000"/>
          <w:kern w:val="2"/>
          <w:sz w:val="32"/>
          <w:szCs w:val="32"/>
          <w:lang w:val="en-US" w:eastAsia="zh-CN" w:bidi="ar-SA"/>
        </w:rPr>
        <w:t>《关于加强城市道路交通信号灯运维管理工作的通知》、《关于印发</w:t>
      </w:r>
      <w:r>
        <w:rPr>
          <w:rFonts w:hint="eastAsia" w:ascii="仿宋" w:hAnsi="仿宋" w:eastAsia="仿宋" w:cs="仿宋"/>
          <w:color w:val="000000"/>
          <w:kern w:val="2"/>
          <w:sz w:val="32"/>
          <w:szCs w:val="32"/>
          <w:lang w:val="en-US" w:eastAsia="zh-CN" w:bidi="ar-SA"/>
        </w:rPr>
        <w:t>〈</w:t>
      </w:r>
      <w:r>
        <w:rPr>
          <w:rFonts w:hint="eastAsia" w:ascii="仿宋_GB2312" w:hAnsi="仿宋_GB2312" w:eastAsia="仿宋_GB2312" w:cs="仿宋_GB2312"/>
          <w:color w:val="000000"/>
          <w:kern w:val="2"/>
          <w:sz w:val="32"/>
          <w:szCs w:val="32"/>
          <w:lang w:val="en-US" w:eastAsia="zh-CN" w:bidi="ar-SA"/>
        </w:rPr>
        <w:t>贵州省公安厅交通管理局关于加强道路交通监控设备联网和运维管理工作实施方案（2023—2025年）</w:t>
      </w:r>
      <w:r>
        <w:rPr>
          <w:rFonts w:hint="eastAsia" w:ascii="仿宋" w:hAnsi="仿宋" w:eastAsia="仿宋" w:cs="仿宋"/>
          <w:color w:val="000000"/>
          <w:kern w:val="2"/>
          <w:sz w:val="32"/>
          <w:szCs w:val="32"/>
          <w:lang w:val="en-US" w:eastAsia="zh-CN" w:bidi="ar-SA"/>
        </w:rPr>
        <w:t>〉</w:t>
      </w:r>
      <w:r>
        <w:rPr>
          <w:rFonts w:hint="eastAsia" w:ascii="仿宋_GB2312" w:hAnsi="仿宋_GB2312" w:eastAsia="仿宋_GB2312" w:cs="仿宋_GB2312"/>
          <w:color w:val="000000"/>
          <w:kern w:val="2"/>
          <w:sz w:val="32"/>
          <w:szCs w:val="32"/>
          <w:lang w:val="en-US" w:eastAsia="zh-CN" w:bidi="ar-SA"/>
        </w:rPr>
        <w:t>的通知》、《贵州省道路交通公路监控平台日常巡查维护管理办法（试行）》等文件要求，落实道路交通监控设备联网和运维管理工作实施方案、加强城市道路交通信号灯运维管理工作</w:t>
      </w:r>
      <w:r>
        <w:rPr>
          <w:rFonts w:hint="eastAsia" w:ascii="仿宋_GB2312" w:hAnsi="Calibri" w:eastAsia="仿宋_GB2312" w:cs="仿宋_GB2312"/>
          <w:color w:val="000000"/>
          <w:kern w:val="2"/>
          <w:sz w:val="32"/>
          <w:szCs w:val="32"/>
          <w:lang w:val="en-US" w:eastAsia="zh-CN" w:bidi="ar-SA"/>
        </w:rPr>
        <w:t>。</w:t>
      </w:r>
    </w:p>
    <w:p w14:paraId="7E008A8A">
      <w:pPr>
        <w:spacing w:line="560" w:lineRule="exact"/>
        <w:ind w:firstLine="644" w:firstLineChars="200"/>
        <w:rPr>
          <w:rFonts w:ascii="黑体" w:hAnsi="黑体" w:eastAsia="黑体" w:cs="Times New Roman"/>
          <w:sz w:val="32"/>
          <w:szCs w:val="32"/>
        </w:rPr>
      </w:pPr>
      <w:r>
        <w:rPr>
          <w:rFonts w:hint="eastAsia" w:ascii="黑体" w:hAnsi="黑体" w:eastAsia="黑体" w:cs="Times New Roman"/>
          <w:sz w:val="32"/>
          <w:szCs w:val="32"/>
        </w:rPr>
        <w:t>三、实施主体</w:t>
      </w:r>
    </w:p>
    <w:p w14:paraId="24E94D0D">
      <w:pPr>
        <w:keepNext w:val="0"/>
        <w:keepLines w:val="0"/>
        <w:pageBreakBefore w:val="0"/>
        <w:widowControl w:val="0"/>
        <w:kinsoku/>
        <w:wordWrap/>
        <w:overflowPunct/>
        <w:topLinePunct w:val="0"/>
        <w:autoSpaceDE/>
        <w:autoSpaceDN/>
        <w:bidi w:val="0"/>
        <w:spacing w:line="560" w:lineRule="exact"/>
        <w:ind w:firstLine="644" w:firstLineChars="200"/>
        <w:textAlignment w:val="auto"/>
        <w:rPr>
          <w:rFonts w:hint="eastAsia" w:ascii="仿宋_GB2312" w:eastAsia="仿宋_GB2312" w:cs="仿宋_GB2312"/>
          <w:color w:val="000000"/>
          <w:kern w:val="2"/>
          <w:sz w:val="32"/>
          <w:szCs w:val="32"/>
          <w:lang w:val="en-US" w:eastAsia="zh-CN" w:bidi="ar-SA"/>
        </w:rPr>
      </w:pPr>
      <w:r>
        <w:rPr>
          <w:rFonts w:hint="eastAsia" w:ascii="仿宋_GB2312" w:eastAsia="仿宋_GB2312" w:cs="仿宋_GB2312"/>
          <w:color w:val="000000"/>
          <w:kern w:val="2"/>
          <w:sz w:val="32"/>
          <w:szCs w:val="32"/>
          <w:lang w:val="en-US" w:eastAsia="zh-CN" w:bidi="ar-SA"/>
        </w:rPr>
        <w:t>贵州贵安新区公安局交通警察支队。</w:t>
      </w:r>
    </w:p>
    <w:p w14:paraId="6F45E031">
      <w:pPr>
        <w:keepNext w:val="0"/>
        <w:keepLines w:val="0"/>
        <w:pageBreakBefore w:val="0"/>
        <w:widowControl w:val="0"/>
        <w:kinsoku/>
        <w:wordWrap/>
        <w:overflowPunct/>
        <w:topLinePunct w:val="0"/>
        <w:autoSpaceDE/>
        <w:autoSpaceDN/>
        <w:bidi w:val="0"/>
        <w:spacing w:line="560" w:lineRule="exact"/>
        <w:ind w:left="0" w:firstLine="644" w:firstLineChars="200"/>
        <w:textAlignment w:val="auto"/>
        <w:rPr>
          <w:rFonts w:hint="eastAsia" w:ascii="楷体_GB2312" w:eastAsia="楷体_GB2312" w:cs="楷体_GB2312"/>
          <w:sz w:val="32"/>
          <w:szCs w:val="32"/>
        </w:rPr>
      </w:pPr>
      <w:r>
        <w:rPr>
          <w:rFonts w:hint="eastAsia" w:ascii="黑体" w:eastAsia="黑体" w:cs="黑体"/>
          <w:sz w:val="32"/>
          <w:szCs w:val="32"/>
          <w:lang w:eastAsia="zh-CN"/>
        </w:rPr>
        <w:t>四、</w:t>
      </w:r>
      <w:r>
        <w:rPr>
          <w:rFonts w:hint="eastAsia" w:ascii="黑体" w:eastAsia="黑体" w:cs="黑体"/>
          <w:sz w:val="32"/>
          <w:szCs w:val="32"/>
        </w:rPr>
        <w:t>实施方案</w:t>
      </w:r>
    </w:p>
    <w:p w14:paraId="02BCCD19">
      <w:pPr>
        <w:keepNext w:val="0"/>
        <w:keepLines w:val="0"/>
        <w:pageBreakBefore w:val="0"/>
        <w:widowControl w:val="0"/>
        <w:kinsoku/>
        <w:wordWrap/>
        <w:overflowPunct/>
        <w:topLinePunct w:val="0"/>
        <w:autoSpaceDE/>
        <w:autoSpaceDN/>
        <w:bidi w:val="0"/>
        <w:spacing w:line="560" w:lineRule="exact"/>
        <w:ind w:left="0" w:firstLine="644" w:firstLineChars="200"/>
        <w:textAlignment w:val="auto"/>
        <w:rPr>
          <w:rFonts w:hint="default" w:ascii="楷体_GB2312" w:eastAsia="楷体_GB2312" w:cs="楷体_GB2312"/>
          <w:sz w:val="32"/>
          <w:szCs w:val="32"/>
          <w:lang w:val="en-US" w:eastAsia="zh-CN"/>
        </w:rPr>
      </w:pPr>
      <w:r>
        <w:rPr>
          <w:rFonts w:hint="eastAsia" w:ascii="楷体_GB2312" w:eastAsia="楷体_GB2312" w:cs="楷体_GB2312"/>
          <w:sz w:val="32"/>
          <w:szCs w:val="32"/>
        </w:rPr>
        <w:t>（一）</w:t>
      </w:r>
      <w:r>
        <w:rPr>
          <w:rFonts w:hint="eastAsia" w:ascii="楷体_GB2312" w:eastAsia="楷体_GB2312" w:cs="楷体_GB2312"/>
          <w:sz w:val="32"/>
          <w:szCs w:val="32"/>
          <w:lang w:val="en-US" w:eastAsia="zh-CN"/>
        </w:rPr>
        <w:t>项目可行性</w:t>
      </w:r>
    </w:p>
    <w:p w14:paraId="280409A7">
      <w:pPr>
        <w:keepNext w:val="0"/>
        <w:keepLines w:val="0"/>
        <w:pageBreakBefore w:val="0"/>
        <w:widowControl w:val="0"/>
        <w:kinsoku/>
        <w:wordWrap/>
        <w:overflowPunct/>
        <w:topLinePunct w:val="0"/>
        <w:autoSpaceDE/>
        <w:autoSpaceDN/>
        <w:bidi w:val="0"/>
        <w:adjustRightInd/>
        <w:snapToGrid/>
        <w:spacing w:line="560" w:lineRule="exact"/>
        <w:ind w:left="0" w:leftChars="0" w:firstLine="644" w:firstLineChars="200"/>
        <w:jc w:val="both"/>
        <w:textAlignment w:val="auto"/>
        <w:rPr>
          <w:rFonts w:hint="default" w:ascii="仿宋_GB2312" w:eastAsia="仿宋_GB2312" w:cs="仿宋_GB2312"/>
          <w:color w:val="000000"/>
          <w:kern w:val="2"/>
          <w:sz w:val="32"/>
          <w:szCs w:val="32"/>
          <w:lang w:val="en-US" w:eastAsia="zh-CN" w:bidi="ar-SA"/>
        </w:rPr>
      </w:pPr>
      <w:r>
        <w:rPr>
          <w:rFonts w:hint="eastAsia" w:ascii="仿宋_GB2312" w:eastAsia="仿宋_GB2312" w:cs="仿宋_GB2312"/>
          <w:color w:val="000000"/>
          <w:kern w:val="2"/>
          <w:sz w:val="32"/>
          <w:szCs w:val="32"/>
          <w:lang w:val="en-US" w:eastAsia="zh-CN" w:bidi="ar-SA"/>
        </w:rPr>
        <w:t>贵州贵安新区公安局交通警察支队对该项目的可行性进行了以下评估：</w:t>
      </w:r>
      <w:r>
        <w:rPr>
          <w:rFonts w:hint="eastAsia" w:ascii="仿宋_GB2312" w:hAnsi="仿宋_GB2312" w:eastAsia="仿宋_GB2312" w:cs="仿宋_GB2312"/>
          <w:color w:val="auto"/>
          <w:sz w:val="32"/>
          <w:szCs w:val="32"/>
          <w:lang w:val="en-US" w:eastAsia="zh-CN"/>
        </w:rPr>
        <w:t>一是执行该项目的政策依据充分，部交管局、厅交管局均印发相关指导文件要求落实好交通信号设施、交通监控系统和设施的运维管理工作。二是项目实施内容清晰明确，主要内容包括对新区82处交通信号控制设施实施管养维护服务的采购、采购智能交通系统的技术服务（有力保障电子警察抓拍系统等具体工作的正常开展）。三是项目主要内容为采购人目前亟需的工作要素，实施该项目可带来显而易见的工作效益。综上所述，该项目是可行的。</w:t>
      </w:r>
    </w:p>
    <w:p w14:paraId="5F5FAB98">
      <w:pPr>
        <w:keepNext w:val="0"/>
        <w:keepLines w:val="0"/>
        <w:pageBreakBefore w:val="0"/>
        <w:widowControl w:val="0"/>
        <w:numPr>
          <w:ilvl w:val="0"/>
          <w:numId w:val="2"/>
        </w:numPr>
        <w:kinsoku/>
        <w:wordWrap/>
        <w:overflowPunct/>
        <w:topLinePunct w:val="0"/>
        <w:autoSpaceDE/>
        <w:autoSpaceDN/>
        <w:bidi w:val="0"/>
        <w:spacing w:line="560" w:lineRule="exact"/>
        <w:ind w:left="0" w:firstLine="644" w:firstLineChars="200"/>
        <w:textAlignment w:val="auto"/>
        <w:rPr>
          <w:rFonts w:hint="eastAsia" w:ascii="楷体_GB2312" w:eastAsia="楷体_GB2312" w:cs="楷体_GB2312"/>
          <w:sz w:val="32"/>
          <w:szCs w:val="32"/>
          <w:lang w:val="en-US" w:eastAsia="zh-CN"/>
        </w:rPr>
      </w:pPr>
      <w:r>
        <w:rPr>
          <w:rFonts w:hint="eastAsia" w:ascii="楷体_GB2312" w:eastAsia="楷体_GB2312" w:cs="楷体_GB2312"/>
          <w:sz w:val="32"/>
          <w:szCs w:val="32"/>
          <w:lang w:val="en-US" w:eastAsia="zh-CN"/>
        </w:rPr>
        <w:t>总体思路</w:t>
      </w:r>
    </w:p>
    <w:p w14:paraId="3ACB40F7">
      <w:pPr>
        <w:keepNext w:val="0"/>
        <w:keepLines w:val="0"/>
        <w:pageBreakBefore w:val="0"/>
        <w:widowControl w:val="0"/>
        <w:numPr>
          <w:ilvl w:val="0"/>
          <w:numId w:val="0"/>
        </w:numPr>
        <w:kinsoku/>
        <w:wordWrap/>
        <w:overflowPunct/>
        <w:topLinePunct w:val="0"/>
        <w:autoSpaceDE/>
        <w:autoSpaceDN/>
        <w:bidi w:val="0"/>
        <w:spacing w:line="560" w:lineRule="exact"/>
        <w:ind w:firstLine="644" w:firstLineChars="200"/>
        <w:textAlignment w:val="auto"/>
        <w:rPr>
          <w:rFonts w:hint="default" w:ascii="楷体_GB2312" w:eastAsia="楷体_GB2312" w:cs="楷体_GB2312"/>
          <w:sz w:val="32"/>
          <w:szCs w:val="32"/>
          <w:lang w:val="en-US" w:eastAsia="zh-CN"/>
        </w:rPr>
      </w:pPr>
      <w:r>
        <w:rPr>
          <w:rFonts w:hint="eastAsia" w:ascii="仿宋_GB2312" w:hAnsi="仿宋_GB2312" w:eastAsia="仿宋_GB2312" w:cs="仿宋_GB2312"/>
          <w:color w:val="auto"/>
          <w:sz w:val="32"/>
          <w:szCs w:val="32"/>
          <w:lang w:val="en-US" w:eastAsia="zh-CN"/>
        </w:rPr>
        <w:t>该项目分为两部分分别进行采购，一是采购</w:t>
      </w:r>
      <w:r>
        <w:rPr>
          <w:rFonts w:hint="eastAsia" w:ascii="仿宋_GB2312" w:hAnsi="仿宋_GB2312" w:eastAsia="仿宋_GB2312" w:cs="仿宋_GB2312"/>
          <w:color w:val="000000"/>
          <w:sz w:val="32"/>
          <w:szCs w:val="32"/>
          <w:lang w:val="en-US" w:eastAsia="zh-CN"/>
        </w:rPr>
        <w:t>城市道路交通信号灯运维服务（维护不少于82处信号设施）；二是</w:t>
      </w:r>
      <w:r>
        <w:rPr>
          <w:rFonts w:hint="eastAsia" w:ascii="仿宋_GB2312" w:hAnsi="仿宋_GB2312" w:eastAsia="仿宋_GB2312" w:cs="仿宋_GB2312"/>
          <w:color w:val="auto"/>
          <w:sz w:val="32"/>
          <w:szCs w:val="32"/>
          <w:lang w:val="en-US" w:eastAsia="zh-CN"/>
        </w:rPr>
        <w:t>采购智能交通系统的技术服务，主要对贵安交警现有的视频监控平台（视频专网）、视频监控平台（公安内网）与亚行智慧交通项目融合进行技术服务，包含但不限于接口开发、系统授权、系统版本升级更新、数据库融合、系统架构融合等工作，另外还包括一名系统工程师驻场服务一年。</w:t>
      </w:r>
    </w:p>
    <w:p w14:paraId="341D0A48">
      <w:pPr>
        <w:keepNext w:val="0"/>
        <w:keepLines w:val="0"/>
        <w:pageBreakBefore w:val="0"/>
        <w:widowControl w:val="0"/>
        <w:kinsoku/>
        <w:wordWrap/>
        <w:overflowPunct/>
        <w:topLinePunct w:val="0"/>
        <w:autoSpaceDE/>
        <w:autoSpaceDN/>
        <w:bidi w:val="0"/>
        <w:spacing w:line="560" w:lineRule="exact"/>
        <w:ind w:left="0" w:firstLine="644" w:firstLineChars="200"/>
        <w:textAlignment w:val="auto"/>
        <w:rPr>
          <w:rFonts w:hint="eastAsia" w:ascii="仿宋_GB2312" w:hAnsi="仿宋_GB2312" w:eastAsia="仿宋_GB2312" w:cs="仿宋_GB2312"/>
          <w:color w:val="000000"/>
          <w:sz w:val="32"/>
          <w:szCs w:val="32"/>
          <w:lang w:val="en-US" w:eastAsia="zh-CN"/>
        </w:rPr>
      </w:pPr>
      <w:r>
        <w:rPr>
          <w:rFonts w:hint="eastAsia" w:ascii="楷体_GB2312" w:eastAsia="楷体_GB2312" w:cs="楷体_GB2312"/>
          <w:sz w:val="32"/>
          <w:szCs w:val="32"/>
          <w:lang w:eastAsia="zh-CN"/>
        </w:rPr>
        <w:t>（</w:t>
      </w:r>
      <w:r>
        <w:rPr>
          <w:rFonts w:hint="eastAsia" w:ascii="楷体_GB2312" w:eastAsia="楷体_GB2312" w:cs="楷体_GB2312"/>
          <w:sz w:val="32"/>
          <w:szCs w:val="32"/>
          <w:lang w:val="en-US" w:eastAsia="zh-CN"/>
        </w:rPr>
        <w:t>三</w:t>
      </w:r>
      <w:r>
        <w:rPr>
          <w:rFonts w:hint="eastAsia" w:ascii="楷体_GB2312" w:eastAsia="楷体_GB2312" w:cs="楷体_GB2312"/>
          <w:sz w:val="32"/>
          <w:szCs w:val="32"/>
          <w:lang w:eastAsia="zh-CN"/>
        </w:rPr>
        <w:t>）实施方式</w:t>
      </w:r>
    </w:p>
    <w:p w14:paraId="504B9760">
      <w:pPr>
        <w:keepNext w:val="0"/>
        <w:keepLines w:val="0"/>
        <w:pageBreakBefore w:val="0"/>
        <w:widowControl w:val="0"/>
        <w:kinsoku/>
        <w:wordWrap/>
        <w:overflowPunct/>
        <w:topLinePunct w:val="0"/>
        <w:autoSpaceDE/>
        <w:autoSpaceDN/>
        <w:bidi w:val="0"/>
        <w:spacing w:line="560" w:lineRule="exact"/>
        <w:ind w:left="0" w:leftChars="0" w:firstLine="66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由贵州贵安新区公安局交通警察支队按照政府采购相关工作规定抓好该项目的组织实施和管理工作，落实运维工作管理制度，组织制定和实施运维考核办法，对新区路网监控系统和交通信号控制系统内外场设施的运行情况进行监测评估</w:t>
      </w:r>
      <w:r>
        <w:rPr>
          <w:rFonts w:hint="default" w:ascii="仿宋_GB2312" w:hAnsi="仿宋_GB2312" w:eastAsia="仿宋_GB2312" w:cs="仿宋_GB2312"/>
          <w:color w:val="000000"/>
          <w:sz w:val="32"/>
          <w:szCs w:val="32"/>
          <w:lang w:val="en-US" w:eastAsia="zh-CN"/>
        </w:rPr>
        <w:t>；财政金融工作局加强对</w:t>
      </w:r>
      <w:r>
        <w:rPr>
          <w:rFonts w:hint="eastAsia" w:ascii="仿宋_GB2312" w:hAnsi="仿宋_GB2312" w:eastAsia="仿宋_GB2312" w:cs="仿宋_GB2312"/>
          <w:b w:val="0"/>
          <w:bCs w:val="0"/>
          <w:color w:val="000000"/>
          <w:sz w:val="32"/>
          <w:szCs w:val="32"/>
          <w:lang w:val="en-US" w:eastAsia="zh-CN"/>
        </w:rPr>
        <w:t>智能交通管理系统</w:t>
      </w:r>
      <w:r>
        <w:rPr>
          <w:rFonts w:hint="eastAsia" w:ascii="仿宋_GB2312" w:hAnsi="仿宋_GB2312" w:eastAsia="仿宋_GB2312" w:cs="仿宋_GB2312"/>
          <w:color w:val="000000"/>
          <w:sz w:val="32"/>
          <w:szCs w:val="32"/>
          <w:lang w:val="en-US" w:eastAsia="zh-CN"/>
        </w:rPr>
        <w:t>运维服务</w:t>
      </w:r>
      <w:r>
        <w:rPr>
          <w:rFonts w:hint="default" w:ascii="仿宋_GB2312" w:hAnsi="仿宋_GB2312" w:eastAsia="仿宋_GB2312" w:cs="仿宋_GB2312"/>
          <w:color w:val="000000"/>
          <w:sz w:val="32"/>
          <w:szCs w:val="32"/>
          <w:lang w:val="en-US" w:eastAsia="zh-CN"/>
        </w:rPr>
        <w:t>专项资金的监管，确保资金</w:t>
      </w:r>
      <w:r>
        <w:rPr>
          <w:rFonts w:hint="eastAsia" w:ascii="仿宋_GB2312" w:hAnsi="仿宋_GB2312" w:eastAsia="仿宋_GB2312" w:cs="仿宋_GB2312"/>
          <w:color w:val="000000"/>
          <w:sz w:val="32"/>
          <w:szCs w:val="32"/>
          <w:lang w:val="en-US" w:eastAsia="zh-CN"/>
        </w:rPr>
        <w:t>充分用于上述两个系统的管养维护工作，确保上述两个系统软硬件设备、内外场设备均健康正常运行。</w:t>
      </w:r>
    </w:p>
    <w:p w14:paraId="762C6107">
      <w:pPr>
        <w:keepNext w:val="0"/>
        <w:keepLines w:val="0"/>
        <w:pageBreakBefore w:val="0"/>
        <w:widowControl w:val="0"/>
        <w:kinsoku/>
        <w:wordWrap/>
        <w:overflowPunct/>
        <w:topLinePunct w:val="0"/>
        <w:autoSpaceDE/>
        <w:autoSpaceDN/>
        <w:bidi w:val="0"/>
        <w:spacing w:line="560" w:lineRule="exact"/>
        <w:ind w:left="0" w:firstLine="644" w:firstLineChars="200"/>
        <w:textAlignment w:val="auto"/>
        <w:rPr>
          <w:rFonts w:hint="eastAsia" w:ascii="楷体_GB2312" w:eastAsia="楷体_GB2312" w:cs="楷体_GB2312"/>
          <w:color w:val="000000"/>
          <w:sz w:val="32"/>
          <w:szCs w:val="32"/>
          <w:lang w:eastAsia="zh-CN"/>
        </w:rPr>
      </w:pPr>
      <w:r>
        <w:rPr>
          <w:rFonts w:hint="eastAsia" w:ascii="楷体_GB2312" w:eastAsia="楷体_GB2312" w:cs="楷体_GB2312"/>
          <w:color w:val="000000"/>
          <w:sz w:val="32"/>
          <w:szCs w:val="32"/>
          <w:lang w:eastAsia="zh-CN"/>
        </w:rPr>
        <w:t>（</w:t>
      </w:r>
      <w:r>
        <w:rPr>
          <w:rFonts w:hint="eastAsia" w:ascii="楷体_GB2312" w:eastAsia="楷体_GB2312" w:cs="楷体_GB2312"/>
          <w:color w:val="000000"/>
          <w:sz w:val="32"/>
          <w:szCs w:val="32"/>
          <w:lang w:val="en-US" w:eastAsia="zh-CN"/>
        </w:rPr>
        <w:t>四</w:t>
      </w:r>
      <w:r>
        <w:rPr>
          <w:rFonts w:hint="eastAsia" w:ascii="楷体_GB2312" w:eastAsia="楷体_GB2312" w:cs="楷体_GB2312"/>
          <w:color w:val="000000"/>
          <w:sz w:val="32"/>
          <w:szCs w:val="32"/>
          <w:lang w:eastAsia="zh-CN"/>
        </w:rPr>
        <w:t>）进度安排及阶段目标</w:t>
      </w:r>
    </w:p>
    <w:p w14:paraId="7AF5E6C7">
      <w:pPr>
        <w:spacing w:line="560" w:lineRule="exact"/>
        <w:ind w:firstLine="644" w:firstLineChars="200"/>
        <w:rPr>
          <w:rFonts w:ascii="仿宋_GB2312" w:eastAsia="仿宋_GB2312" w:cs="仿宋_GB2312"/>
          <w:color w:val="000000"/>
          <w:sz w:val="32"/>
          <w:szCs w:val="32"/>
        </w:rPr>
      </w:pPr>
      <w:r>
        <w:rPr>
          <w:rFonts w:hint="eastAsia" w:ascii="仿宋_GB2312" w:eastAsia="仿宋_GB2312" w:cs="仿宋_GB2312"/>
          <w:b/>
          <w:bCs/>
          <w:color w:val="000000"/>
          <w:sz w:val="32"/>
          <w:szCs w:val="32"/>
        </w:rPr>
        <w:t>1.方案制定阶段（</w:t>
      </w:r>
      <w:r>
        <w:rPr>
          <w:rFonts w:hint="eastAsia" w:ascii="仿宋_GB2312" w:eastAsia="仿宋_GB2312" w:cs="仿宋_GB2312"/>
          <w:color w:val="000000"/>
          <w:sz w:val="32"/>
          <w:szCs w:val="32"/>
        </w:rPr>
        <w:t>202</w:t>
      </w:r>
      <w:r>
        <w:rPr>
          <w:rFonts w:hint="eastAsia" w:ascii="仿宋_GB2312" w:eastAsia="仿宋_GB2312" w:cs="仿宋_GB2312"/>
          <w:color w:val="000000"/>
          <w:sz w:val="32"/>
          <w:szCs w:val="32"/>
          <w:lang w:val="en-US" w:eastAsia="zh-CN"/>
        </w:rPr>
        <w:t>4</w:t>
      </w:r>
      <w:r>
        <w:rPr>
          <w:rFonts w:hint="eastAsia" w:ascii="仿宋_GB2312" w:eastAsia="仿宋_GB2312" w:cs="仿宋_GB2312"/>
          <w:color w:val="000000"/>
          <w:sz w:val="32"/>
          <w:szCs w:val="32"/>
        </w:rPr>
        <w:t>年</w:t>
      </w:r>
      <w:r>
        <w:rPr>
          <w:rFonts w:ascii="仿宋_GB2312" w:eastAsia="仿宋_GB2312" w:cs="仿宋_GB2312"/>
          <w:color w:val="000000"/>
          <w:sz w:val="32"/>
          <w:szCs w:val="32"/>
        </w:rPr>
        <w:t>1</w:t>
      </w:r>
      <w:r>
        <w:rPr>
          <w:rFonts w:hint="eastAsia" w:ascii="仿宋_GB2312" w:eastAsia="仿宋_GB2312" w:cs="仿宋_GB2312"/>
          <w:color w:val="000000"/>
          <w:sz w:val="32"/>
          <w:szCs w:val="32"/>
          <w:lang w:val="en-US" w:eastAsia="zh-CN"/>
        </w:rPr>
        <w:t>1</w:t>
      </w:r>
      <w:r>
        <w:rPr>
          <w:rFonts w:hint="eastAsia" w:ascii="仿宋_GB2312" w:eastAsia="仿宋_GB2312" w:cs="仿宋_GB2312"/>
          <w:color w:val="000000"/>
          <w:sz w:val="32"/>
          <w:szCs w:val="32"/>
        </w:rPr>
        <w:t>月）：</w:t>
      </w:r>
      <w:r>
        <w:rPr>
          <w:rFonts w:hint="eastAsia" w:ascii="仿宋_GB2312" w:eastAsia="仿宋_GB2312" w:cs="仿宋_GB2312"/>
          <w:color w:val="000000"/>
          <w:sz w:val="32"/>
          <w:szCs w:val="32"/>
          <w:lang w:val="en-US" w:eastAsia="zh-CN"/>
        </w:rPr>
        <w:t>按照</w:t>
      </w:r>
      <w:r>
        <w:rPr>
          <w:rFonts w:ascii="Times New Roman" w:hAnsi="Times New Roman" w:eastAsia="仿宋_GB2312" w:cs="Times New Roman"/>
          <w:i w:val="0"/>
          <w:iCs w:val="0"/>
          <w:caps w:val="0"/>
          <w:spacing w:val="0"/>
          <w:sz w:val="32"/>
          <w:szCs w:val="32"/>
          <w:shd w:val="clear"/>
        </w:rPr>
        <w:t>新区领导批示</w:t>
      </w:r>
      <w:r>
        <w:rPr>
          <w:rFonts w:hint="eastAsia" w:ascii="Times New Roman" w:hAnsi="Times New Roman" w:eastAsia="仿宋_GB2312" w:cs="Times New Roman"/>
          <w:i w:val="0"/>
          <w:iCs w:val="0"/>
          <w:caps w:val="0"/>
          <w:spacing w:val="0"/>
          <w:sz w:val="32"/>
          <w:szCs w:val="32"/>
          <w:shd w:val="clear"/>
          <w:lang w:val="en-US" w:eastAsia="zh-CN"/>
        </w:rPr>
        <w:t>要求</w:t>
      </w:r>
      <w:r>
        <w:rPr>
          <w:rFonts w:ascii="Times New Roman" w:hAnsi="Times New Roman" w:eastAsia="仿宋_GB2312" w:cs="Times New Roman"/>
          <w:i w:val="0"/>
          <w:iCs w:val="0"/>
          <w:caps w:val="0"/>
          <w:spacing w:val="0"/>
          <w:sz w:val="32"/>
          <w:szCs w:val="32"/>
          <w:shd w:val="clear"/>
        </w:rPr>
        <w:t>，新区公安局交警支队牵头，会同多部门开展相关工作，包括对接产权单位与亚行项目，明确</w:t>
      </w:r>
      <w:r>
        <w:rPr>
          <w:rFonts w:hint="eastAsia" w:ascii="Times New Roman" w:hAnsi="Times New Roman" w:eastAsia="仿宋_GB2312" w:cs="Times New Roman"/>
          <w:i w:val="0"/>
          <w:iCs w:val="0"/>
          <w:caps w:val="0"/>
          <w:spacing w:val="0"/>
          <w:sz w:val="32"/>
          <w:szCs w:val="32"/>
          <w:shd w:val="clear"/>
          <w:lang w:val="en-US" w:eastAsia="zh-CN"/>
        </w:rPr>
        <w:t>设施设备维护范围和边界</w:t>
      </w:r>
      <w:r>
        <w:rPr>
          <w:rFonts w:ascii="Times New Roman" w:hAnsi="Times New Roman" w:eastAsia="仿宋_GB2312" w:cs="Times New Roman"/>
          <w:i w:val="0"/>
          <w:iCs w:val="0"/>
          <w:caps w:val="0"/>
          <w:spacing w:val="0"/>
          <w:sz w:val="32"/>
          <w:szCs w:val="32"/>
          <w:shd w:val="clear"/>
        </w:rPr>
        <w:t>，制定</w:t>
      </w:r>
      <w:r>
        <w:rPr>
          <w:rFonts w:hint="default" w:ascii="Times New Roman" w:hAnsi="Times New Roman" w:eastAsia="仿宋_GB2312" w:cs="Times New Roman"/>
          <w:i w:val="0"/>
          <w:iCs w:val="0"/>
          <w:caps w:val="0"/>
          <w:spacing w:val="0"/>
          <w:sz w:val="32"/>
          <w:szCs w:val="32"/>
          <w:shd w:val="clear"/>
          <w:lang w:eastAsia="zh-CN"/>
        </w:rPr>
        <w:t>《</w:t>
      </w:r>
      <w:r>
        <w:rPr>
          <w:rFonts w:hint="default" w:ascii="Times New Roman" w:hAnsi="Times New Roman" w:eastAsia="仿宋_GB2312" w:cs="Times New Roman"/>
          <w:b w:val="0"/>
          <w:bCs w:val="0"/>
          <w:sz w:val="32"/>
          <w:szCs w:val="32"/>
          <w:lang w:val="en-US" w:eastAsia="zh-CN"/>
        </w:rPr>
        <w:t>贵安新区道路交通安全设施及智能交通管理系统保障项目（路网监控系统运维项目2024</w:t>
      </w:r>
      <w:r>
        <w:rPr>
          <w:rFonts w:hint="eastAsia" w:ascii="Times New Roman" w:hAnsi="Times New Roman" w:eastAsia="仿宋_GB2312" w:cs="Times New Roman"/>
          <w:b w:val="0"/>
          <w:bCs w:val="0"/>
          <w:sz w:val="32"/>
          <w:szCs w:val="32"/>
          <w:lang w:val="en-US" w:eastAsia="zh-CN"/>
        </w:rPr>
        <w:t>—</w:t>
      </w:r>
      <w:r>
        <w:rPr>
          <w:rFonts w:hint="default" w:ascii="Times New Roman" w:hAnsi="Times New Roman" w:eastAsia="仿宋_GB2312" w:cs="Times New Roman"/>
          <w:b w:val="0"/>
          <w:bCs w:val="0"/>
          <w:sz w:val="32"/>
          <w:szCs w:val="32"/>
          <w:lang w:val="en-US" w:eastAsia="zh-CN"/>
        </w:rPr>
        <w:t>2026年度）</w:t>
      </w:r>
      <w:r>
        <w:rPr>
          <w:rFonts w:hint="default" w:ascii="Times New Roman" w:hAnsi="Times New Roman" w:eastAsia="仿宋_GB2312" w:cs="Times New Roman"/>
          <w:bCs w:val="0"/>
          <w:color w:val="auto"/>
          <w:kern w:val="2"/>
          <w:sz w:val="32"/>
          <w:szCs w:val="32"/>
          <w:lang w:val="en-US" w:eastAsia="zh-CN" w:bidi="ar"/>
        </w:rPr>
        <w:t>》</w:t>
      </w:r>
      <w:r>
        <w:rPr>
          <w:rFonts w:ascii="Times New Roman" w:hAnsi="Times New Roman" w:eastAsia="仿宋_GB2312" w:cs="Times New Roman"/>
          <w:i w:val="0"/>
          <w:iCs w:val="0"/>
          <w:caps w:val="0"/>
          <w:spacing w:val="0"/>
          <w:sz w:val="32"/>
          <w:szCs w:val="32"/>
          <w:shd w:val="clear"/>
        </w:rPr>
        <w:t>实施方案</w:t>
      </w:r>
      <w:r>
        <w:rPr>
          <w:rFonts w:hint="default" w:ascii="Times New Roman" w:hAnsi="Times New Roman" w:eastAsia="仿宋_GB2312" w:cs="Times New Roman"/>
          <w:i w:val="0"/>
          <w:iCs w:val="0"/>
          <w:caps w:val="0"/>
          <w:spacing w:val="0"/>
          <w:sz w:val="32"/>
          <w:szCs w:val="32"/>
          <w:shd w:val="clear"/>
          <w:lang w:val="en-US" w:eastAsia="zh-CN"/>
        </w:rPr>
        <w:t>和</w:t>
      </w:r>
      <w:r>
        <w:rPr>
          <w:rFonts w:hint="default" w:ascii="Times New Roman" w:hAnsi="Times New Roman" w:eastAsia="仿宋_GB2312" w:cs="Times New Roman"/>
          <w:i w:val="0"/>
          <w:iCs w:val="0"/>
          <w:caps w:val="0"/>
          <w:spacing w:val="0"/>
          <w:sz w:val="32"/>
          <w:szCs w:val="32"/>
          <w:shd w:val="clear"/>
          <w:lang w:eastAsia="zh-CN"/>
        </w:rPr>
        <w:t>《</w:t>
      </w:r>
      <w:r>
        <w:rPr>
          <w:rFonts w:hint="default" w:ascii="Times New Roman" w:hAnsi="Times New Roman" w:eastAsia="仿宋_GB2312" w:cs="Times New Roman"/>
          <w:b w:val="0"/>
          <w:bCs w:val="0"/>
          <w:sz w:val="32"/>
          <w:szCs w:val="32"/>
          <w:lang w:val="en-US" w:eastAsia="zh-CN"/>
        </w:rPr>
        <w:t>贵安新区道路交通安全设施及智能交通管理系统保障项目（</w:t>
      </w:r>
      <w:r>
        <w:rPr>
          <w:rFonts w:hint="eastAsia" w:ascii="Times New Roman" w:hAnsi="Times New Roman" w:eastAsia="仿宋_GB2312" w:cs="Times New Roman"/>
          <w:b w:val="0"/>
          <w:bCs w:val="0"/>
          <w:sz w:val="32"/>
          <w:szCs w:val="32"/>
          <w:lang w:val="en-US" w:eastAsia="zh-CN"/>
        </w:rPr>
        <w:t>信号控制</w:t>
      </w:r>
      <w:r>
        <w:rPr>
          <w:rFonts w:hint="default" w:ascii="Times New Roman" w:hAnsi="Times New Roman" w:eastAsia="仿宋_GB2312" w:cs="Times New Roman"/>
          <w:b w:val="0"/>
          <w:bCs w:val="0"/>
          <w:sz w:val="32"/>
          <w:szCs w:val="32"/>
          <w:lang w:val="en-US" w:eastAsia="zh-CN"/>
        </w:rPr>
        <w:t>系统运维项目2024</w:t>
      </w:r>
      <w:r>
        <w:rPr>
          <w:rFonts w:hint="eastAsia" w:ascii="Times New Roman" w:hAnsi="Times New Roman" w:eastAsia="仿宋_GB2312" w:cs="Times New Roman"/>
          <w:b w:val="0"/>
          <w:bCs w:val="0"/>
          <w:sz w:val="32"/>
          <w:szCs w:val="32"/>
          <w:lang w:val="en-US" w:eastAsia="zh-CN"/>
        </w:rPr>
        <w:t>—</w:t>
      </w:r>
      <w:r>
        <w:rPr>
          <w:rFonts w:hint="default" w:ascii="Times New Roman" w:hAnsi="Times New Roman" w:eastAsia="仿宋_GB2312" w:cs="Times New Roman"/>
          <w:b w:val="0"/>
          <w:bCs w:val="0"/>
          <w:sz w:val="32"/>
          <w:szCs w:val="32"/>
          <w:lang w:val="en-US" w:eastAsia="zh-CN"/>
        </w:rPr>
        <w:t>2026年度）</w:t>
      </w:r>
      <w:r>
        <w:rPr>
          <w:rFonts w:hint="default" w:ascii="Times New Roman" w:hAnsi="Times New Roman" w:eastAsia="仿宋_GB2312" w:cs="Times New Roman"/>
          <w:bCs w:val="0"/>
          <w:color w:val="auto"/>
          <w:kern w:val="2"/>
          <w:sz w:val="32"/>
          <w:szCs w:val="32"/>
          <w:lang w:val="en-US" w:eastAsia="zh-CN" w:bidi="ar"/>
        </w:rPr>
        <w:t>》</w:t>
      </w:r>
      <w:r>
        <w:rPr>
          <w:rFonts w:hint="default" w:ascii="Times New Roman" w:hAnsi="Times New Roman" w:eastAsia="仿宋_GB2312" w:cs="Times New Roman"/>
          <w:color w:val="auto"/>
          <w:sz w:val="32"/>
          <w:szCs w:val="32"/>
        </w:rPr>
        <w:t>。</w:t>
      </w:r>
    </w:p>
    <w:p w14:paraId="26FABCD8">
      <w:pPr>
        <w:widowControl w:val="0"/>
        <w:adjustRightInd w:val="0"/>
        <w:snapToGrid w:val="0"/>
        <w:spacing w:after="158" w:afterLines="50" w:line="560" w:lineRule="exact"/>
        <w:ind w:firstLine="644" w:firstLineChars="200"/>
        <w:jc w:val="both"/>
        <w:outlineLvl w:val="3"/>
        <w:rPr>
          <w:rFonts w:hint="default" w:ascii="仿宋_GB2312" w:hAnsi="Calibri" w:eastAsia="仿宋_GB2312" w:cs="仿宋_GB2312"/>
          <w:color w:val="000000"/>
          <w:kern w:val="2"/>
          <w:sz w:val="32"/>
          <w:szCs w:val="32"/>
          <w:lang w:val="en-US" w:eastAsia="zh-CN" w:bidi="ar-SA"/>
        </w:rPr>
      </w:pPr>
      <w:r>
        <w:rPr>
          <w:rFonts w:hint="eastAsia" w:ascii="仿宋_GB2312" w:hAnsi="Calibri" w:eastAsia="仿宋_GB2312" w:cs="仿宋_GB2312"/>
          <w:b/>
          <w:bCs/>
          <w:color w:val="000000"/>
          <w:kern w:val="2"/>
          <w:sz w:val="32"/>
          <w:szCs w:val="32"/>
          <w:lang w:val="en-US" w:eastAsia="zh-CN" w:bidi="ar-SA"/>
        </w:rPr>
        <w:t>2.推进实施阶段（</w:t>
      </w:r>
      <w:r>
        <w:rPr>
          <w:rFonts w:hint="eastAsia" w:ascii="仿宋_GB2312" w:hAnsi="Calibri" w:eastAsia="仿宋_GB2312" w:cs="仿宋_GB2312"/>
          <w:color w:val="000000"/>
          <w:kern w:val="2"/>
          <w:sz w:val="32"/>
          <w:szCs w:val="32"/>
          <w:lang w:val="en-US" w:eastAsia="zh-CN" w:bidi="ar-SA"/>
        </w:rPr>
        <w:t>2025年2月—12月）：开展项目采购工作，及时对新区路网智能交通软硬件、内外场设施设备进行7X24小时故障处置、维护管养工作。</w:t>
      </w:r>
    </w:p>
    <w:p w14:paraId="0AAC0F44">
      <w:pPr>
        <w:widowControl w:val="0"/>
        <w:adjustRightInd w:val="0"/>
        <w:snapToGrid w:val="0"/>
        <w:spacing w:afterLines="0" w:line="560" w:lineRule="exact"/>
        <w:ind w:firstLine="644" w:firstLineChars="200"/>
        <w:jc w:val="both"/>
        <w:outlineLvl w:val="3"/>
        <w:rPr>
          <w:rFonts w:hint="eastAsia" w:ascii="仿宋_GB2312" w:hAnsi="Calibri" w:eastAsia="仿宋_GB2312" w:cs="仿宋_GB2312"/>
          <w:color w:val="000000"/>
          <w:kern w:val="2"/>
          <w:sz w:val="32"/>
          <w:szCs w:val="32"/>
          <w:lang w:val="en-US" w:eastAsia="zh-CN" w:bidi="ar-SA"/>
        </w:rPr>
      </w:pPr>
      <w:r>
        <w:rPr>
          <w:rFonts w:hint="eastAsia" w:ascii="仿宋_GB2312" w:hAnsi="Calibri" w:eastAsia="仿宋_GB2312" w:cs="仿宋_GB2312"/>
          <w:b/>
          <w:bCs/>
          <w:color w:val="000000"/>
          <w:kern w:val="2"/>
          <w:sz w:val="32"/>
          <w:szCs w:val="32"/>
          <w:lang w:val="en-US" w:eastAsia="zh-CN" w:bidi="ar-SA"/>
        </w:rPr>
        <w:t>3.验收阶段（</w:t>
      </w:r>
      <w:r>
        <w:rPr>
          <w:rFonts w:hint="eastAsia" w:ascii="仿宋_GB2312" w:hAnsi="Calibri" w:eastAsia="仿宋_GB2312" w:cs="仿宋_GB2312"/>
          <w:color w:val="000000"/>
          <w:kern w:val="2"/>
          <w:sz w:val="32"/>
          <w:szCs w:val="32"/>
          <w:lang w:val="en-US" w:eastAsia="zh-CN" w:bidi="ar-SA"/>
        </w:rPr>
        <w:t>2025年5月—12月）：组织项目验收小组，针对本期建设项目进行整体验收并完成费用支付。</w:t>
      </w:r>
    </w:p>
    <w:p w14:paraId="5A249E85">
      <w:pPr>
        <w:keepNext w:val="0"/>
        <w:keepLines w:val="0"/>
        <w:pageBreakBefore w:val="0"/>
        <w:widowControl w:val="0"/>
        <w:kinsoku/>
        <w:wordWrap/>
        <w:overflowPunct/>
        <w:topLinePunct w:val="0"/>
        <w:autoSpaceDE/>
        <w:autoSpaceDN/>
        <w:bidi w:val="0"/>
        <w:spacing w:line="560" w:lineRule="exact"/>
        <w:ind w:left="0" w:firstLine="644" w:firstLineChars="200"/>
        <w:textAlignment w:val="auto"/>
        <w:rPr>
          <w:rFonts w:hint="eastAsia" w:ascii="楷体_GB2312" w:eastAsia="楷体_GB2312" w:cs="楷体_GB2312"/>
          <w:color w:val="000000"/>
          <w:sz w:val="32"/>
          <w:szCs w:val="32"/>
          <w:lang w:val="en-US" w:eastAsia="zh-CN"/>
        </w:rPr>
      </w:pPr>
      <w:r>
        <w:rPr>
          <w:rFonts w:hint="eastAsia" w:ascii="楷体_GB2312" w:eastAsia="楷体_GB2312" w:cs="楷体_GB2312"/>
          <w:color w:val="000000"/>
          <w:sz w:val="32"/>
          <w:szCs w:val="32"/>
          <w:lang w:eastAsia="zh-CN"/>
        </w:rPr>
        <w:t>（</w:t>
      </w:r>
      <w:r>
        <w:rPr>
          <w:rFonts w:hint="eastAsia" w:ascii="楷体_GB2312" w:eastAsia="楷体_GB2312" w:cs="楷体_GB2312"/>
          <w:color w:val="000000"/>
          <w:sz w:val="32"/>
          <w:szCs w:val="32"/>
          <w:lang w:val="en-US" w:eastAsia="zh-CN"/>
        </w:rPr>
        <w:t>五</w:t>
      </w:r>
      <w:r>
        <w:rPr>
          <w:rFonts w:hint="eastAsia" w:ascii="楷体_GB2312" w:eastAsia="楷体_GB2312" w:cs="楷体_GB2312"/>
          <w:color w:val="000000"/>
          <w:sz w:val="32"/>
          <w:szCs w:val="32"/>
          <w:lang w:eastAsia="zh-CN"/>
        </w:rPr>
        <w:t>）</w:t>
      </w:r>
      <w:r>
        <w:rPr>
          <w:rFonts w:hint="eastAsia" w:ascii="楷体_GB2312" w:eastAsia="楷体_GB2312" w:cs="楷体_GB2312"/>
          <w:color w:val="000000"/>
          <w:sz w:val="32"/>
          <w:szCs w:val="32"/>
          <w:lang w:val="en-US" w:eastAsia="zh-CN"/>
        </w:rPr>
        <w:t>预期成果</w:t>
      </w:r>
    </w:p>
    <w:p w14:paraId="4A14B587">
      <w:pPr>
        <w:keepNext w:val="0"/>
        <w:keepLines w:val="0"/>
        <w:pageBreakBefore w:val="0"/>
        <w:widowControl w:val="0"/>
        <w:kinsoku/>
        <w:wordWrap/>
        <w:overflowPunct/>
        <w:topLinePunct w:val="0"/>
        <w:autoSpaceDE/>
        <w:autoSpaceDN/>
        <w:bidi w:val="0"/>
        <w:spacing w:line="560" w:lineRule="exact"/>
        <w:ind w:left="0" w:firstLine="644"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一是保障维护范围内交通信号设施正常运行，减少交通事故发生，减少交通参与者的生命财产损失，从而提升贵安新区的道路交通安全。二是提供融合现有信息系统与即将建设信息系统所需要的技术支撑，使得新区现有的各类监控设施和新建的监控设施能够顺利接入交警视频专网和公安内网的相关信息系统，从而在交通管理、执法办案、社会治安防控等具体的公安工作上产生直接的工作效益，进而提升辖区安全度。</w:t>
      </w:r>
    </w:p>
    <w:p w14:paraId="719BBE0B">
      <w:pPr>
        <w:keepNext w:val="0"/>
        <w:keepLines w:val="0"/>
        <w:pageBreakBefore w:val="0"/>
        <w:widowControl w:val="0"/>
        <w:kinsoku/>
        <w:wordWrap/>
        <w:overflowPunct/>
        <w:topLinePunct w:val="0"/>
        <w:autoSpaceDE/>
        <w:autoSpaceDN/>
        <w:bidi w:val="0"/>
        <w:spacing w:line="560" w:lineRule="exact"/>
        <w:ind w:left="0" w:firstLine="644" w:firstLineChars="200"/>
        <w:textAlignment w:val="auto"/>
        <w:rPr>
          <w:rFonts w:hint="eastAsia" w:ascii="黑体" w:eastAsia="黑体" w:cs="黑体"/>
          <w:sz w:val="32"/>
          <w:szCs w:val="32"/>
        </w:rPr>
      </w:pPr>
      <w:r>
        <w:rPr>
          <w:rFonts w:hint="eastAsia" w:ascii="黑体" w:eastAsia="黑体" w:cs="黑体"/>
          <w:sz w:val="32"/>
          <w:szCs w:val="32"/>
        </w:rPr>
        <w:t>五、实施周期</w:t>
      </w:r>
    </w:p>
    <w:p w14:paraId="21089191">
      <w:pPr>
        <w:keepNext w:val="0"/>
        <w:keepLines w:val="0"/>
        <w:pageBreakBefore w:val="0"/>
        <w:widowControl w:val="0"/>
        <w:kinsoku/>
        <w:wordWrap/>
        <w:overflowPunct/>
        <w:topLinePunct w:val="0"/>
        <w:autoSpaceDE/>
        <w:autoSpaceDN/>
        <w:bidi w:val="0"/>
        <w:adjustRightInd w:val="0"/>
        <w:snapToGrid w:val="0"/>
        <w:spacing w:line="560" w:lineRule="exact"/>
        <w:ind w:left="0" w:firstLine="640"/>
        <w:textAlignment w:val="auto"/>
        <w:rPr>
          <w:rFonts w:hint="eastAsia" w:ascii="方正仿宋_GBK" w:eastAsia="方正仿宋_GBK" w:cs="方正仿宋_GBK"/>
          <w:color w:val="000000"/>
          <w:sz w:val="32"/>
          <w:szCs w:val="32"/>
          <w:lang w:val="en-US" w:eastAsia="zh-CN"/>
        </w:rPr>
      </w:pPr>
      <w:r>
        <w:rPr>
          <w:rFonts w:hint="eastAsia" w:ascii="仿宋_GB2312" w:eastAsia="仿宋_GB2312" w:cs="仿宋_GB2312"/>
          <w:color w:val="000000"/>
          <w:sz w:val="32"/>
          <w:szCs w:val="32"/>
          <w:lang w:val="en-US" w:eastAsia="zh-CN"/>
        </w:rPr>
        <w:t>2025年2月起至2025年12月。</w:t>
      </w:r>
    </w:p>
    <w:p w14:paraId="3E1CE584">
      <w:pPr>
        <w:keepNext w:val="0"/>
        <w:keepLines w:val="0"/>
        <w:pageBreakBefore w:val="0"/>
        <w:widowControl w:val="0"/>
        <w:kinsoku/>
        <w:wordWrap/>
        <w:overflowPunct/>
        <w:topLinePunct w:val="0"/>
        <w:autoSpaceDE/>
        <w:autoSpaceDN/>
        <w:bidi w:val="0"/>
        <w:spacing w:line="560" w:lineRule="exact"/>
        <w:ind w:left="0" w:firstLine="644" w:firstLineChars="200"/>
        <w:textAlignment w:val="auto"/>
        <w:rPr>
          <w:rFonts w:hint="eastAsia" w:ascii="黑体" w:eastAsia="黑体" w:cs="黑体"/>
          <w:sz w:val="32"/>
          <w:szCs w:val="32"/>
        </w:rPr>
      </w:pPr>
      <w:r>
        <w:rPr>
          <w:rFonts w:hint="eastAsia" w:ascii="黑体" w:eastAsia="黑体" w:cs="黑体"/>
          <w:sz w:val="32"/>
          <w:szCs w:val="32"/>
        </w:rPr>
        <w:t>六、年度预算计划</w:t>
      </w:r>
    </w:p>
    <w:p w14:paraId="61343B95">
      <w:pPr>
        <w:keepNext w:val="0"/>
        <w:keepLines w:val="0"/>
        <w:pageBreakBefore w:val="0"/>
        <w:widowControl w:val="0"/>
        <w:kinsoku/>
        <w:wordWrap/>
        <w:overflowPunct/>
        <w:topLinePunct w:val="0"/>
        <w:autoSpaceDE/>
        <w:autoSpaceDN/>
        <w:bidi w:val="0"/>
        <w:spacing w:line="560" w:lineRule="exact"/>
        <w:ind w:left="0" w:firstLine="644" w:firstLineChars="200"/>
        <w:textAlignment w:val="auto"/>
        <w:rPr>
          <w:rFonts w:hint="eastAsia" w:ascii="仿宋_GB2312" w:eastAsia="仿宋_GB2312" w:cs="仿宋_GB2312"/>
          <w:color w:val="000000"/>
          <w:kern w:val="2"/>
          <w:sz w:val="32"/>
          <w:szCs w:val="32"/>
          <w:lang w:val="en-US" w:eastAsia="zh-CN" w:bidi="ar-SA"/>
        </w:rPr>
      </w:pPr>
      <w:r>
        <w:rPr>
          <w:rFonts w:hint="eastAsia" w:ascii="仿宋_GB2312" w:eastAsia="仿宋_GB2312" w:cs="仿宋_GB2312"/>
          <w:color w:val="000000"/>
          <w:kern w:val="2"/>
          <w:sz w:val="32"/>
          <w:szCs w:val="32"/>
          <w:lang w:val="en-US" w:eastAsia="zh-CN" w:bidi="ar-SA"/>
        </w:rPr>
        <w:t>2025年预算：</w:t>
      </w:r>
      <w:r>
        <w:rPr>
          <w:rFonts w:ascii="仿宋_GB2312" w:eastAsia="仿宋_GB2312" w:cs="仿宋_GB2312"/>
          <w:color w:val="000000"/>
          <w:kern w:val="2"/>
          <w:sz w:val="32"/>
          <w:szCs w:val="32"/>
          <w:lang w:val="en-US" w:eastAsia="zh-CN" w:bidi="ar-SA"/>
        </w:rPr>
        <w:t>一般公共预算</w:t>
      </w:r>
      <w:r>
        <w:rPr>
          <w:rFonts w:hint="eastAsia" w:ascii="仿宋_GB2312" w:hAnsi="Calibri" w:eastAsia="仿宋_GB2312" w:cs="仿宋_GB2312"/>
          <w:color w:val="000000"/>
          <w:sz w:val="32"/>
          <w:szCs w:val="32"/>
          <w:lang w:val="en-US" w:eastAsia="zh-CN"/>
        </w:rPr>
        <w:t>90</w:t>
      </w:r>
      <w:r>
        <w:rPr>
          <w:rFonts w:hint="eastAsia" w:ascii="仿宋_GB2312" w:eastAsia="仿宋_GB2312" w:cs="仿宋_GB2312"/>
          <w:color w:val="000000"/>
          <w:kern w:val="2"/>
          <w:sz w:val="32"/>
          <w:szCs w:val="32"/>
          <w:lang w:val="en-US" w:eastAsia="zh-CN" w:bidi="ar-SA"/>
        </w:rPr>
        <w:t>万元。</w:t>
      </w:r>
    </w:p>
    <w:p w14:paraId="60B723A7">
      <w:pPr>
        <w:keepNext w:val="0"/>
        <w:keepLines w:val="0"/>
        <w:pageBreakBefore w:val="0"/>
        <w:widowControl w:val="0"/>
        <w:kinsoku/>
        <w:wordWrap/>
        <w:overflowPunct/>
        <w:topLinePunct w:val="0"/>
        <w:autoSpaceDE/>
        <w:autoSpaceDN/>
        <w:bidi w:val="0"/>
        <w:spacing w:line="560" w:lineRule="exact"/>
        <w:ind w:left="0" w:firstLine="644" w:firstLineChars="200"/>
        <w:textAlignment w:val="auto"/>
        <w:rPr>
          <w:rFonts w:hint="eastAsia" w:ascii="黑体" w:eastAsia="黑体" w:cs="黑体"/>
          <w:sz w:val="32"/>
          <w:szCs w:val="32"/>
        </w:rPr>
      </w:pPr>
      <w:r>
        <w:rPr>
          <w:rFonts w:hint="eastAsia" w:ascii="黑体" w:eastAsia="黑体" w:cs="黑体"/>
          <w:sz w:val="32"/>
          <w:szCs w:val="32"/>
        </w:rPr>
        <w:t>七、绩效目标和指标</w:t>
      </w:r>
    </w:p>
    <w:p w14:paraId="5DFDDB0D">
      <w:pPr>
        <w:keepNext w:val="0"/>
        <w:keepLines w:val="0"/>
        <w:pageBreakBefore w:val="0"/>
        <w:widowControl w:val="0"/>
        <w:kinsoku/>
        <w:wordWrap/>
        <w:overflowPunct/>
        <w:topLinePunct w:val="0"/>
        <w:autoSpaceDE/>
        <w:autoSpaceDN/>
        <w:bidi w:val="0"/>
        <w:spacing w:line="560" w:lineRule="exact"/>
        <w:ind w:left="0" w:firstLine="644" w:firstLineChars="200"/>
        <w:textAlignment w:val="auto"/>
        <w:rPr>
          <w:rFonts w:ascii="方正仿宋_GBK" w:eastAsia="方正仿宋_GBK" w:cs="方正仿宋_GBK"/>
          <w:sz w:val="32"/>
          <w:szCs w:val="32"/>
        </w:rPr>
      </w:pPr>
      <w:r>
        <w:rPr>
          <w:rFonts w:hint="eastAsia" w:ascii="仿宋_GB2312" w:eastAsia="仿宋_GB2312" w:cs="仿宋_GB2312"/>
          <w:color w:val="000000"/>
          <w:kern w:val="2"/>
          <w:sz w:val="32"/>
          <w:szCs w:val="32"/>
          <w:lang w:val="en-US" w:eastAsia="zh-CN" w:bidi="ar-SA"/>
        </w:rPr>
        <w:t>详见</w:t>
      </w:r>
      <w:r>
        <w:rPr>
          <w:rFonts w:ascii="仿宋_GB2312" w:eastAsia="仿宋_GB2312" w:cs="仿宋_GB2312"/>
          <w:color w:val="000000"/>
          <w:kern w:val="2"/>
          <w:sz w:val="32"/>
          <w:szCs w:val="32"/>
          <w:lang w:val="en-US" w:eastAsia="zh-CN" w:bidi="ar-SA"/>
        </w:rPr>
        <w:t>下</w:t>
      </w:r>
      <w:r>
        <w:rPr>
          <w:rFonts w:hint="eastAsia" w:ascii="仿宋_GB2312" w:eastAsia="仿宋_GB2312" w:cs="仿宋_GB2312"/>
          <w:color w:val="000000"/>
          <w:kern w:val="2"/>
          <w:sz w:val="32"/>
          <w:szCs w:val="32"/>
          <w:lang w:val="en-US" w:eastAsia="zh-CN" w:bidi="ar-SA"/>
        </w:rPr>
        <w:t>表。</w:t>
      </w:r>
    </w:p>
    <w:p w14:paraId="433C0C4E">
      <w:pPr>
        <w:keepNext w:val="0"/>
        <w:keepLines w:val="0"/>
        <w:pageBreakBefore w:val="0"/>
        <w:widowControl w:val="0"/>
        <w:bidi w:val="0"/>
        <w:spacing w:line="400" w:lineRule="exact"/>
        <w:sectPr>
          <w:footerReference r:id="rId4" w:type="default"/>
          <w:pgSz w:w="16838" w:h="11906" w:orient="landscape"/>
          <w:pgMar w:top="1276" w:right="1020" w:bottom="1412" w:left="1020" w:header="851" w:footer="992" w:gutter="0"/>
          <w:pgBorders>
            <w:top w:val="none" w:sz="0" w:space="0"/>
            <w:left w:val="none" w:sz="0" w:space="0"/>
            <w:bottom w:val="none" w:sz="0" w:space="0"/>
            <w:right w:val="none" w:sz="0" w:space="0"/>
          </w:pgBorders>
          <w:pgNumType w:fmt="decimal"/>
          <w:cols w:space="720" w:num="1"/>
          <w:rtlGutter w:val="1"/>
          <w:docGrid w:type="linesAndChars" w:linePitch="317" w:charSpace="604"/>
        </w:sectPr>
      </w:pPr>
    </w:p>
    <w:tbl>
      <w:tblPr>
        <w:tblStyle w:val="10"/>
        <w:tblW w:w="1501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21"/>
        <w:gridCol w:w="1236"/>
        <w:gridCol w:w="2646"/>
        <w:gridCol w:w="805"/>
        <w:gridCol w:w="1"/>
        <w:gridCol w:w="898"/>
        <w:gridCol w:w="1229"/>
        <w:gridCol w:w="3566"/>
        <w:gridCol w:w="3012"/>
      </w:tblGrid>
      <w:tr w14:paraId="2F06E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3" w:hRule="atLeast"/>
          <w:tblHeader/>
          <w:jc w:val="center"/>
        </w:trPr>
        <w:tc>
          <w:tcPr>
            <w:tcW w:w="15014" w:type="dxa"/>
            <w:gridSpan w:val="9"/>
            <w:tcBorders>
              <w:top w:val="nil"/>
              <w:left w:val="nil"/>
              <w:bottom w:val="nil"/>
              <w:right w:val="nil"/>
            </w:tcBorders>
            <w:shd w:val="clear" w:color="auto" w:fill="auto"/>
            <w:vAlign w:val="center"/>
          </w:tcPr>
          <w:p w14:paraId="3E20F90E">
            <w:pPr>
              <w:keepNext w:val="0"/>
              <w:keepLines w:val="0"/>
              <w:widowControl/>
              <w:suppressLineNumbers w:val="0"/>
              <w:jc w:val="center"/>
              <w:textAlignment w:val="center"/>
              <w:rPr>
                <w:rFonts w:hint="eastAsia" w:ascii="宋体" w:hAnsi="宋体" w:eastAsia="宋体" w:cs="宋体"/>
                <w:b/>
                <w:bCs/>
                <w:i w:val="0"/>
                <w:iCs w:val="0"/>
                <w:color w:val="000000"/>
                <w:sz w:val="43"/>
                <w:szCs w:val="43"/>
                <w:u w:val="none"/>
              </w:rPr>
            </w:pPr>
            <w:r>
              <w:rPr>
                <w:rFonts w:hint="eastAsia" w:ascii="宋体" w:hAnsi="宋体" w:eastAsia="宋体" w:cs="宋体"/>
                <w:b/>
                <w:bCs/>
                <w:i w:val="0"/>
                <w:iCs w:val="0"/>
                <w:color w:val="000000"/>
                <w:kern w:val="0"/>
                <w:sz w:val="43"/>
                <w:szCs w:val="43"/>
                <w:u w:val="none"/>
                <w:lang w:val="en-US" w:eastAsia="zh-CN" w:bidi="ar"/>
              </w:rPr>
              <w:t>项目支出绩效目标申报表</w:t>
            </w:r>
          </w:p>
        </w:tc>
      </w:tr>
      <w:tr w14:paraId="50FA1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blHeader/>
          <w:jc w:val="center"/>
        </w:trPr>
        <w:tc>
          <w:tcPr>
            <w:tcW w:w="15014" w:type="dxa"/>
            <w:gridSpan w:val="9"/>
            <w:tcBorders>
              <w:top w:val="nil"/>
              <w:left w:val="nil"/>
              <w:bottom w:val="single" w:color="auto" w:sz="4" w:space="0"/>
              <w:right w:val="nil"/>
            </w:tcBorders>
            <w:shd w:val="clear" w:color="auto" w:fill="auto"/>
            <w:vAlign w:val="center"/>
          </w:tcPr>
          <w:p w14:paraId="6F50C2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（2025年度）</w:t>
            </w:r>
          </w:p>
        </w:tc>
      </w:tr>
      <w:tr w14:paraId="79F8F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blHeader/>
          <w:jc w:val="center"/>
        </w:trPr>
        <w:tc>
          <w:tcPr>
            <w:tcW w:w="2857"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74CF5C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项目名称</w:t>
            </w:r>
          </w:p>
        </w:tc>
        <w:tc>
          <w:tcPr>
            <w:tcW w:w="4350"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14:paraId="1E21E0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贵安新区道路交通安全设施及智能交通管理系统保障项目</w:t>
            </w:r>
          </w:p>
        </w:tc>
        <w:tc>
          <w:tcPr>
            <w:tcW w:w="1229" w:type="dxa"/>
            <w:tcBorders>
              <w:top w:val="single" w:color="auto" w:sz="4" w:space="0"/>
              <w:left w:val="single" w:color="auto" w:sz="4" w:space="0"/>
              <w:bottom w:val="single" w:color="auto" w:sz="4" w:space="0"/>
              <w:right w:val="single" w:color="auto" w:sz="4" w:space="0"/>
            </w:tcBorders>
            <w:shd w:val="clear" w:color="auto" w:fill="auto"/>
            <w:vAlign w:val="center"/>
          </w:tcPr>
          <w:p w14:paraId="3207780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项目编码</w:t>
            </w:r>
          </w:p>
        </w:tc>
        <w:tc>
          <w:tcPr>
            <w:tcW w:w="6578"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36970B32">
            <w:pPr>
              <w:jc w:val="center"/>
              <w:rPr>
                <w:rFonts w:hint="eastAsia" w:ascii="宋体" w:hAnsi="宋体" w:eastAsia="宋体" w:cs="宋体"/>
                <w:i w:val="0"/>
                <w:iCs w:val="0"/>
                <w:color w:val="000000"/>
                <w:sz w:val="20"/>
                <w:szCs w:val="20"/>
                <w:u w:val="none"/>
              </w:rPr>
            </w:pPr>
          </w:p>
        </w:tc>
      </w:tr>
      <w:tr w14:paraId="357DA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blHeader/>
          <w:jc w:val="center"/>
        </w:trPr>
        <w:tc>
          <w:tcPr>
            <w:tcW w:w="2857"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438174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主管部门及代码</w:t>
            </w:r>
          </w:p>
        </w:tc>
        <w:tc>
          <w:tcPr>
            <w:tcW w:w="4350"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14:paraId="6C1841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869001/</w:t>
            </w:r>
            <w:r>
              <w:rPr>
                <w:rFonts w:hint="eastAsia" w:ascii="宋体" w:hAnsi="宋体" w:eastAsia="宋体" w:cs="宋体"/>
                <w:i w:val="0"/>
                <w:iCs w:val="0"/>
                <w:color w:val="000000"/>
                <w:kern w:val="0"/>
                <w:sz w:val="22"/>
                <w:szCs w:val="22"/>
                <w:u w:val="none"/>
                <w:lang w:val="en-US" w:eastAsia="zh-CN" w:bidi="ar"/>
              </w:rPr>
              <w:t>贵州贵安新区公安局交通警察支队</w:t>
            </w:r>
          </w:p>
        </w:tc>
        <w:tc>
          <w:tcPr>
            <w:tcW w:w="1229" w:type="dxa"/>
            <w:tcBorders>
              <w:top w:val="single" w:color="auto" w:sz="4" w:space="0"/>
              <w:left w:val="single" w:color="auto" w:sz="4" w:space="0"/>
              <w:bottom w:val="single" w:color="auto" w:sz="4" w:space="0"/>
              <w:right w:val="single" w:color="auto" w:sz="4" w:space="0"/>
            </w:tcBorders>
            <w:shd w:val="clear" w:color="auto" w:fill="FFFFFF"/>
            <w:vAlign w:val="center"/>
          </w:tcPr>
          <w:p w14:paraId="5953A4F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实施单位</w:t>
            </w:r>
          </w:p>
        </w:tc>
        <w:tc>
          <w:tcPr>
            <w:tcW w:w="6578"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659C59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贵州贵安新区公安局交通警察支队</w:t>
            </w:r>
          </w:p>
        </w:tc>
      </w:tr>
      <w:tr w14:paraId="7EE0C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jc w:val="center"/>
        </w:trPr>
        <w:tc>
          <w:tcPr>
            <w:tcW w:w="2857" w:type="dxa"/>
            <w:gridSpan w:val="2"/>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2DF2FA0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资金来源</w:t>
            </w:r>
          </w:p>
        </w:tc>
        <w:tc>
          <w:tcPr>
            <w:tcW w:w="12157" w:type="dxa"/>
            <w:gridSpan w:val="7"/>
            <w:tcBorders>
              <w:top w:val="single" w:color="auto" w:sz="4" w:space="0"/>
              <w:left w:val="single" w:color="auto" w:sz="4" w:space="0"/>
              <w:bottom w:val="single" w:color="auto" w:sz="4" w:space="0"/>
              <w:right w:val="single" w:color="auto" w:sz="4" w:space="0"/>
            </w:tcBorders>
            <w:shd w:val="clear" w:color="auto" w:fill="FFFFFF"/>
            <w:vAlign w:val="center"/>
          </w:tcPr>
          <w:p w14:paraId="4444C18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年度资金情况</w:t>
            </w:r>
          </w:p>
        </w:tc>
      </w:tr>
      <w:tr w14:paraId="35F4A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jc w:val="center"/>
        </w:trPr>
        <w:tc>
          <w:tcPr>
            <w:tcW w:w="2857" w:type="dxa"/>
            <w:gridSpan w:val="2"/>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0293A08C">
            <w:pPr>
              <w:jc w:val="center"/>
              <w:rPr>
                <w:rFonts w:hint="eastAsia" w:ascii="宋体" w:hAnsi="宋体" w:eastAsia="宋体" w:cs="宋体"/>
                <w:b/>
                <w:bCs/>
                <w:i w:val="0"/>
                <w:iCs w:val="0"/>
                <w:color w:val="000000"/>
                <w:sz w:val="20"/>
                <w:szCs w:val="20"/>
                <w:u w:val="none"/>
              </w:rPr>
            </w:pPr>
          </w:p>
        </w:tc>
        <w:tc>
          <w:tcPr>
            <w:tcW w:w="345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A0FE5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资金总额(元)：</w:t>
            </w:r>
          </w:p>
        </w:tc>
        <w:tc>
          <w:tcPr>
            <w:tcW w:w="8706"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0A8F79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900,000.00</w:t>
            </w:r>
          </w:p>
        </w:tc>
      </w:tr>
      <w:tr w14:paraId="0F517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jc w:val="center"/>
        </w:trPr>
        <w:tc>
          <w:tcPr>
            <w:tcW w:w="2857" w:type="dxa"/>
            <w:gridSpan w:val="2"/>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19132F9F">
            <w:pPr>
              <w:jc w:val="center"/>
              <w:rPr>
                <w:rFonts w:hint="eastAsia" w:ascii="宋体" w:hAnsi="宋体" w:eastAsia="宋体" w:cs="宋体"/>
                <w:b/>
                <w:bCs/>
                <w:i w:val="0"/>
                <w:iCs w:val="0"/>
                <w:color w:val="000000"/>
                <w:sz w:val="20"/>
                <w:szCs w:val="20"/>
                <w:u w:val="none"/>
              </w:rPr>
            </w:pPr>
          </w:p>
        </w:tc>
        <w:tc>
          <w:tcPr>
            <w:tcW w:w="345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66ACA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财政拨款</w:t>
            </w:r>
          </w:p>
        </w:tc>
        <w:tc>
          <w:tcPr>
            <w:tcW w:w="8706"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290FEC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900,000.00</w:t>
            </w:r>
          </w:p>
        </w:tc>
      </w:tr>
      <w:tr w14:paraId="0FFE7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jc w:val="center"/>
        </w:trPr>
        <w:tc>
          <w:tcPr>
            <w:tcW w:w="2857" w:type="dxa"/>
            <w:gridSpan w:val="2"/>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1AD8688">
            <w:pPr>
              <w:jc w:val="center"/>
              <w:rPr>
                <w:rFonts w:hint="eastAsia" w:ascii="宋体" w:hAnsi="宋体" w:eastAsia="宋体" w:cs="宋体"/>
                <w:b/>
                <w:bCs/>
                <w:i w:val="0"/>
                <w:iCs w:val="0"/>
                <w:color w:val="000000"/>
                <w:sz w:val="20"/>
                <w:szCs w:val="20"/>
                <w:u w:val="none"/>
              </w:rPr>
            </w:pPr>
          </w:p>
        </w:tc>
        <w:tc>
          <w:tcPr>
            <w:tcW w:w="345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63A0DE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其中：上级补助</w:t>
            </w:r>
          </w:p>
        </w:tc>
        <w:tc>
          <w:tcPr>
            <w:tcW w:w="8706"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56F6CBB9">
            <w:pPr>
              <w:jc w:val="center"/>
              <w:rPr>
                <w:rFonts w:hint="eastAsia" w:ascii="宋体" w:hAnsi="宋体" w:eastAsia="宋体" w:cs="宋体"/>
                <w:i w:val="0"/>
                <w:iCs w:val="0"/>
                <w:color w:val="000000"/>
                <w:sz w:val="20"/>
                <w:szCs w:val="20"/>
                <w:u w:val="none"/>
              </w:rPr>
            </w:pPr>
          </w:p>
        </w:tc>
      </w:tr>
      <w:tr w14:paraId="47D35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jc w:val="center"/>
        </w:trPr>
        <w:tc>
          <w:tcPr>
            <w:tcW w:w="2857" w:type="dxa"/>
            <w:gridSpan w:val="2"/>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04C31018">
            <w:pPr>
              <w:jc w:val="center"/>
              <w:rPr>
                <w:rFonts w:hint="eastAsia" w:ascii="宋体" w:hAnsi="宋体" w:eastAsia="宋体" w:cs="宋体"/>
                <w:b/>
                <w:bCs/>
                <w:i w:val="0"/>
                <w:iCs w:val="0"/>
                <w:color w:val="000000"/>
                <w:sz w:val="20"/>
                <w:szCs w:val="20"/>
                <w:u w:val="none"/>
              </w:rPr>
            </w:pPr>
          </w:p>
        </w:tc>
        <w:tc>
          <w:tcPr>
            <w:tcW w:w="345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3B8CD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本级安排</w:t>
            </w:r>
          </w:p>
        </w:tc>
        <w:tc>
          <w:tcPr>
            <w:tcW w:w="8706"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1172E0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900,000.00</w:t>
            </w:r>
          </w:p>
        </w:tc>
      </w:tr>
      <w:tr w14:paraId="7EEEA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jc w:val="center"/>
        </w:trPr>
        <w:tc>
          <w:tcPr>
            <w:tcW w:w="2857" w:type="dxa"/>
            <w:gridSpan w:val="2"/>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2DCB7321">
            <w:pPr>
              <w:jc w:val="center"/>
              <w:rPr>
                <w:rFonts w:hint="eastAsia" w:ascii="宋体" w:hAnsi="宋体" w:eastAsia="宋体" w:cs="宋体"/>
                <w:b/>
                <w:bCs/>
                <w:i w:val="0"/>
                <w:iCs w:val="0"/>
                <w:color w:val="000000"/>
                <w:sz w:val="20"/>
                <w:szCs w:val="20"/>
                <w:u w:val="none"/>
              </w:rPr>
            </w:pPr>
          </w:p>
        </w:tc>
        <w:tc>
          <w:tcPr>
            <w:tcW w:w="345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337370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其他资金</w:t>
            </w:r>
          </w:p>
        </w:tc>
        <w:tc>
          <w:tcPr>
            <w:tcW w:w="8706"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2D314F44">
            <w:pPr>
              <w:jc w:val="center"/>
              <w:rPr>
                <w:rFonts w:hint="eastAsia" w:ascii="宋体" w:hAnsi="宋体" w:eastAsia="宋体" w:cs="宋体"/>
                <w:i w:val="0"/>
                <w:iCs w:val="0"/>
                <w:color w:val="000000"/>
                <w:sz w:val="20"/>
                <w:szCs w:val="20"/>
                <w:u w:val="none"/>
              </w:rPr>
            </w:pPr>
          </w:p>
        </w:tc>
      </w:tr>
      <w:tr w14:paraId="1E1C5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62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9BEE35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绩效目标</w:t>
            </w:r>
          </w:p>
        </w:tc>
        <w:tc>
          <w:tcPr>
            <w:tcW w:w="13393" w:type="dxa"/>
            <w:gridSpan w:val="8"/>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51E4F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一是对贵安新区82处交通信号控制设施进行日常管养、维护，切实有效保障新区道路的运行秩序，避免交通事故、提升车辆通行效率；二是采购已建成投用的智能交通信息系统与亚行智慧交通项目的信息系统融合</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接口、升级包、系统版本等二次开发服务和系统授权</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驻场工程师</w:t>
            </w:r>
            <w:r>
              <w:rPr>
                <w:rFonts w:hint="eastAsia" w:ascii="宋体" w:hAnsi="宋体" w:cs="宋体"/>
                <w:i w:val="0"/>
                <w:iCs w:val="0"/>
                <w:color w:val="000000"/>
                <w:kern w:val="0"/>
                <w:sz w:val="20"/>
                <w:szCs w:val="20"/>
                <w:u w:val="none"/>
                <w:lang w:val="en-US" w:eastAsia="zh-CN" w:bidi="ar"/>
              </w:rPr>
              <w:t>等</w:t>
            </w:r>
            <w:r>
              <w:rPr>
                <w:rFonts w:hint="eastAsia" w:ascii="宋体" w:hAnsi="宋体" w:eastAsia="宋体" w:cs="宋体"/>
                <w:i w:val="0"/>
                <w:iCs w:val="0"/>
                <w:color w:val="000000"/>
                <w:kern w:val="0"/>
                <w:sz w:val="20"/>
                <w:szCs w:val="20"/>
                <w:u w:val="none"/>
                <w:lang w:val="en-US" w:eastAsia="zh-CN" w:bidi="ar"/>
              </w:rPr>
              <w:t>服务。</w:t>
            </w:r>
          </w:p>
        </w:tc>
      </w:tr>
      <w:tr w14:paraId="2E875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jc w:val="center"/>
        </w:trPr>
        <w:tc>
          <w:tcPr>
            <w:tcW w:w="162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2532867">
            <w:pPr>
              <w:jc w:val="center"/>
              <w:rPr>
                <w:rFonts w:hint="eastAsia" w:ascii="宋体" w:hAnsi="宋体" w:eastAsia="宋体" w:cs="宋体"/>
                <w:b/>
                <w:bCs/>
                <w:i w:val="0"/>
                <w:iCs w:val="0"/>
                <w:color w:val="000000"/>
                <w:sz w:val="20"/>
                <w:szCs w:val="20"/>
                <w:u w:val="none"/>
              </w:rPr>
            </w:pPr>
          </w:p>
        </w:tc>
        <w:tc>
          <w:tcPr>
            <w:tcW w:w="13393" w:type="dxa"/>
            <w:gridSpan w:val="8"/>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8FA2E3C">
            <w:pPr>
              <w:jc w:val="center"/>
              <w:rPr>
                <w:rFonts w:hint="eastAsia" w:ascii="宋体" w:hAnsi="宋体" w:eastAsia="宋体" w:cs="宋体"/>
                <w:i w:val="0"/>
                <w:iCs w:val="0"/>
                <w:color w:val="000000"/>
                <w:sz w:val="20"/>
                <w:szCs w:val="20"/>
                <w:u w:val="none"/>
              </w:rPr>
            </w:pPr>
          </w:p>
        </w:tc>
      </w:tr>
      <w:tr w14:paraId="10E89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jc w:val="center"/>
        </w:trPr>
        <w:tc>
          <w:tcPr>
            <w:tcW w:w="162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126F2F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一级指标</w:t>
            </w:r>
          </w:p>
        </w:tc>
        <w:tc>
          <w:tcPr>
            <w:tcW w:w="123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017AFD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二级指标</w:t>
            </w:r>
          </w:p>
        </w:tc>
        <w:tc>
          <w:tcPr>
            <w:tcW w:w="264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BD917F0">
            <w:pPr>
              <w:keepNext w:val="0"/>
              <w:keepLines w:val="0"/>
              <w:widowControl/>
              <w:suppressLineNumbers w:val="0"/>
              <w:jc w:val="center"/>
              <w:textAlignment w:val="center"/>
              <w:rPr>
                <w:rFonts w:hint="eastAsia" w:ascii="宋体" w:hAnsi="宋体" w:eastAsia="宋体" w:cs="宋体"/>
                <w:b/>
                <w:bCs/>
                <w:i w:val="0"/>
                <w:iCs w:val="0"/>
                <w:color w:val="FF0000"/>
                <w:sz w:val="20"/>
                <w:szCs w:val="20"/>
                <w:u w:val="none"/>
              </w:rPr>
            </w:pPr>
            <w:r>
              <w:rPr>
                <w:rFonts w:hint="eastAsia" w:ascii="宋体" w:hAnsi="宋体" w:eastAsia="宋体" w:cs="宋体"/>
                <w:b/>
                <w:bCs/>
                <w:i w:val="0"/>
                <w:iCs w:val="0"/>
                <w:color w:val="000000"/>
                <w:kern w:val="0"/>
                <w:sz w:val="20"/>
                <w:szCs w:val="20"/>
                <w:u w:val="none"/>
                <w:lang w:val="en-US" w:eastAsia="zh-CN" w:bidi="ar"/>
              </w:rPr>
              <w:t>三级指标</w:t>
            </w:r>
          </w:p>
        </w:tc>
        <w:tc>
          <w:tcPr>
            <w:tcW w:w="293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5B46F11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指标值</w:t>
            </w:r>
          </w:p>
        </w:tc>
        <w:tc>
          <w:tcPr>
            <w:tcW w:w="356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A55956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备注（指标解释等）</w:t>
            </w:r>
          </w:p>
        </w:tc>
        <w:tc>
          <w:tcPr>
            <w:tcW w:w="301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736016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指标值说明（评分标准等）</w:t>
            </w:r>
          </w:p>
        </w:tc>
      </w:tr>
      <w:tr w14:paraId="5A11A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jc w:val="center"/>
        </w:trPr>
        <w:tc>
          <w:tcPr>
            <w:tcW w:w="162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39661EA">
            <w:pPr>
              <w:jc w:val="center"/>
              <w:rPr>
                <w:rFonts w:hint="eastAsia" w:ascii="宋体" w:hAnsi="宋体" w:eastAsia="宋体" w:cs="宋体"/>
                <w:b/>
                <w:bCs/>
                <w:i w:val="0"/>
                <w:iCs w:val="0"/>
                <w:color w:val="000000"/>
                <w:sz w:val="20"/>
                <w:szCs w:val="20"/>
                <w:u w:val="none"/>
              </w:rPr>
            </w:pPr>
          </w:p>
        </w:tc>
        <w:tc>
          <w:tcPr>
            <w:tcW w:w="123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1F09F7C">
            <w:pPr>
              <w:jc w:val="center"/>
              <w:rPr>
                <w:rFonts w:hint="eastAsia" w:ascii="宋体" w:hAnsi="宋体" w:eastAsia="宋体" w:cs="宋体"/>
                <w:b/>
                <w:bCs/>
                <w:i w:val="0"/>
                <w:iCs w:val="0"/>
                <w:color w:val="000000"/>
                <w:sz w:val="20"/>
                <w:szCs w:val="20"/>
                <w:u w:val="none"/>
              </w:rPr>
            </w:pPr>
          </w:p>
        </w:tc>
        <w:tc>
          <w:tcPr>
            <w:tcW w:w="264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D37ACC6">
            <w:pPr>
              <w:jc w:val="center"/>
              <w:rPr>
                <w:rFonts w:hint="eastAsia" w:ascii="宋体" w:hAnsi="宋体" w:eastAsia="宋体" w:cs="宋体"/>
                <w:b/>
                <w:bCs/>
                <w:i w:val="0"/>
                <w:iCs w:val="0"/>
                <w:color w:val="FF0000"/>
                <w:sz w:val="20"/>
                <w:szCs w:val="20"/>
                <w:u w:val="none"/>
              </w:rPr>
            </w:pPr>
          </w:p>
        </w:tc>
        <w:tc>
          <w:tcPr>
            <w:tcW w:w="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EEB0344">
            <w:pPr>
              <w:keepNext w:val="0"/>
              <w:keepLines w:val="0"/>
              <w:widowControl/>
              <w:suppressLineNumbers w:val="0"/>
              <w:jc w:val="center"/>
              <w:textAlignment w:val="center"/>
              <w:rPr>
                <w:rFonts w:hint="eastAsia" w:ascii="宋体" w:hAnsi="宋体" w:eastAsia="宋体" w:cs="宋体"/>
                <w:b/>
                <w:bCs/>
                <w:i w:val="0"/>
                <w:iCs w:val="0"/>
                <w:color w:val="FF0000"/>
                <w:sz w:val="20"/>
                <w:szCs w:val="20"/>
                <w:u w:val="none"/>
              </w:rPr>
            </w:pPr>
            <w:r>
              <w:rPr>
                <w:rFonts w:hint="eastAsia" w:ascii="宋体" w:hAnsi="宋体" w:eastAsia="宋体" w:cs="宋体"/>
                <w:b/>
                <w:bCs/>
                <w:i w:val="0"/>
                <w:iCs w:val="0"/>
                <w:color w:val="000000"/>
                <w:kern w:val="0"/>
                <w:sz w:val="20"/>
                <w:szCs w:val="20"/>
                <w:u w:val="none"/>
                <w:lang w:val="en-US" w:eastAsia="zh-CN" w:bidi="ar"/>
              </w:rPr>
              <w:t>符号</w:t>
            </w:r>
          </w:p>
        </w:tc>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14:paraId="1D095AC9">
            <w:pPr>
              <w:keepNext w:val="0"/>
              <w:keepLines w:val="0"/>
              <w:widowControl/>
              <w:suppressLineNumbers w:val="0"/>
              <w:jc w:val="center"/>
              <w:textAlignment w:val="center"/>
              <w:rPr>
                <w:rFonts w:hint="eastAsia" w:ascii="宋体" w:hAnsi="宋体" w:eastAsia="宋体" w:cs="宋体"/>
                <w:b/>
                <w:bCs/>
                <w:i w:val="0"/>
                <w:iCs w:val="0"/>
                <w:color w:val="FF0000"/>
                <w:sz w:val="20"/>
                <w:szCs w:val="20"/>
                <w:u w:val="none"/>
              </w:rPr>
            </w:pPr>
            <w:r>
              <w:rPr>
                <w:rFonts w:hint="eastAsia" w:ascii="宋体" w:hAnsi="宋体" w:eastAsia="宋体" w:cs="宋体"/>
                <w:b/>
                <w:bCs/>
                <w:i w:val="0"/>
                <w:iCs w:val="0"/>
                <w:color w:val="000000"/>
                <w:kern w:val="0"/>
                <w:sz w:val="20"/>
                <w:szCs w:val="20"/>
                <w:u w:val="none"/>
                <w:lang w:val="en-US" w:eastAsia="zh-CN" w:bidi="ar"/>
              </w:rPr>
              <w:t>值</w:t>
            </w:r>
          </w:p>
        </w:tc>
        <w:tc>
          <w:tcPr>
            <w:tcW w:w="1229" w:type="dxa"/>
            <w:tcBorders>
              <w:top w:val="single" w:color="auto" w:sz="4" w:space="0"/>
              <w:left w:val="single" w:color="auto" w:sz="4" w:space="0"/>
              <w:bottom w:val="single" w:color="auto" w:sz="4" w:space="0"/>
              <w:right w:val="single" w:color="auto" w:sz="4" w:space="0"/>
            </w:tcBorders>
            <w:shd w:val="clear" w:color="auto" w:fill="auto"/>
            <w:vAlign w:val="center"/>
          </w:tcPr>
          <w:p w14:paraId="554D087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计量单位</w:t>
            </w:r>
          </w:p>
        </w:tc>
        <w:tc>
          <w:tcPr>
            <w:tcW w:w="3566" w:type="dxa"/>
            <w:tcBorders>
              <w:top w:val="single" w:color="auto" w:sz="4" w:space="0"/>
              <w:left w:val="single" w:color="auto" w:sz="4" w:space="0"/>
              <w:bottom w:val="single" w:color="auto" w:sz="4" w:space="0"/>
              <w:right w:val="single" w:color="auto" w:sz="4" w:space="0"/>
            </w:tcBorders>
            <w:shd w:val="clear" w:color="auto" w:fill="auto"/>
            <w:vAlign w:val="center"/>
          </w:tcPr>
          <w:p w14:paraId="7ADA61A6">
            <w:pPr>
              <w:jc w:val="center"/>
              <w:rPr>
                <w:rFonts w:hint="eastAsia" w:ascii="宋体" w:hAnsi="宋体" w:eastAsia="宋体" w:cs="宋体"/>
                <w:b/>
                <w:bCs/>
                <w:i w:val="0"/>
                <w:iCs w:val="0"/>
                <w:color w:val="000000"/>
                <w:sz w:val="20"/>
                <w:szCs w:val="20"/>
                <w:u w:val="none"/>
              </w:rPr>
            </w:pPr>
          </w:p>
        </w:tc>
        <w:tc>
          <w:tcPr>
            <w:tcW w:w="3012" w:type="dxa"/>
            <w:tcBorders>
              <w:top w:val="single" w:color="auto" w:sz="4" w:space="0"/>
              <w:left w:val="single" w:color="auto" w:sz="4" w:space="0"/>
              <w:bottom w:val="single" w:color="auto" w:sz="4" w:space="0"/>
              <w:right w:val="single" w:color="auto" w:sz="4" w:space="0"/>
            </w:tcBorders>
            <w:shd w:val="clear" w:color="auto" w:fill="auto"/>
            <w:vAlign w:val="center"/>
          </w:tcPr>
          <w:p w14:paraId="03F3DCDB">
            <w:pPr>
              <w:jc w:val="center"/>
              <w:rPr>
                <w:rFonts w:hint="eastAsia" w:ascii="宋体" w:hAnsi="宋体" w:eastAsia="宋体" w:cs="宋体"/>
                <w:b/>
                <w:bCs/>
                <w:i w:val="0"/>
                <w:iCs w:val="0"/>
                <w:color w:val="000000"/>
                <w:sz w:val="20"/>
                <w:szCs w:val="20"/>
                <w:u w:val="none"/>
              </w:rPr>
            </w:pPr>
          </w:p>
        </w:tc>
      </w:tr>
      <w:tr w14:paraId="78A82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jc w:val="center"/>
        </w:trPr>
        <w:tc>
          <w:tcPr>
            <w:tcW w:w="162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E4DA05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产出指标</w:t>
            </w:r>
          </w:p>
        </w:tc>
        <w:tc>
          <w:tcPr>
            <w:tcW w:w="123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FE224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数量指标</w:t>
            </w:r>
          </w:p>
        </w:tc>
        <w:tc>
          <w:tcPr>
            <w:tcW w:w="2646" w:type="dxa"/>
            <w:tcBorders>
              <w:top w:val="single" w:color="auto" w:sz="4" w:space="0"/>
              <w:left w:val="single" w:color="auto" w:sz="4" w:space="0"/>
              <w:bottom w:val="single" w:color="auto" w:sz="4" w:space="0"/>
              <w:right w:val="single" w:color="auto" w:sz="4" w:space="0"/>
            </w:tcBorders>
            <w:shd w:val="clear" w:color="auto" w:fill="auto"/>
            <w:vAlign w:val="center"/>
          </w:tcPr>
          <w:p w14:paraId="5A38A0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维护路口和路段信号控制设施正常运行处数</w:t>
            </w:r>
          </w:p>
        </w:tc>
        <w:tc>
          <w:tcPr>
            <w:tcW w:w="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6C686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14:paraId="11A52F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w:t>
            </w:r>
          </w:p>
        </w:tc>
        <w:tc>
          <w:tcPr>
            <w:tcW w:w="1229" w:type="dxa"/>
            <w:tcBorders>
              <w:top w:val="single" w:color="auto" w:sz="4" w:space="0"/>
              <w:left w:val="single" w:color="auto" w:sz="4" w:space="0"/>
              <w:bottom w:val="single" w:color="auto" w:sz="4" w:space="0"/>
              <w:right w:val="single" w:color="auto" w:sz="4" w:space="0"/>
            </w:tcBorders>
            <w:shd w:val="clear" w:color="auto" w:fill="auto"/>
            <w:vAlign w:val="center"/>
          </w:tcPr>
          <w:p w14:paraId="035CE0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处</w:t>
            </w:r>
          </w:p>
        </w:tc>
        <w:tc>
          <w:tcPr>
            <w:tcW w:w="3566" w:type="dxa"/>
            <w:tcBorders>
              <w:top w:val="single" w:color="auto" w:sz="4" w:space="0"/>
              <w:left w:val="single" w:color="auto" w:sz="4" w:space="0"/>
              <w:bottom w:val="single" w:color="auto" w:sz="4" w:space="0"/>
              <w:right w:val="single" w:color="auto" w:sz="4" w:space="0"/>
            </w:tcBorders>
            <w:shd w:val="clear" w:color="auto" w:fill="auto"/>
            <w:vAlign w:val="center"/>
          </w:tcPr>
          <w:p w14:paraId="6D4CB40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本项目需要维护82个路口或路段的交通信号控制设施（含信号控制机、信号灯、倒计时面板、杆件、各类线缆等）</w:t>
            </w:r>
          </w:p>
        </w:tc>
        <w:tc>
          <w:tcPr>
            <w:tcW w:w="3012" w:type="dxa"/>
            <w:tcBorders>
              <w:top w:val="single" w:color="auto" w:sz="4" w:space="0"/>
              <w:left w:val="single" w:color="auto" w:sz="4" w:space="0"/>
              <w:bottom w:val="single" w:color="auto" w:sz="4" w:space="0"/>
              <w:right w:val="single" w:color="auto" w:sz="4" w:space="0"/>
            </w:tcBorders>
            <w:shd w:val="clear" w:color="auto" w:fill="auto"/>
            <w:vAlign w:val="center"/>
          </w:tcPr>
          <w:p w14:paraId="0476FB1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评分标准：维护路口和路段信号控制设施正常运行处数≥82处，得满分，每少1处，扣1分，扣完为止。</w:t>
            </w:r>
          </w:p>
        </w:tc>
      </w:tr>
      <w:tr w14:paraId="5533A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0" w:hRule="atLeast"/>
          <w:jc w:val="center"/>
        </w:trPr>
        <w:tc>
          <w:tcPr>
            <w:tcW w:w="162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3FA81B">
            <w:pPr>
              <w:jc w:val="center"/>
              <w:rPr>
                <w:rFonts w:hint="eastAsia" w:ascii="宋体" w:hAnsi="宋体" w:eastAsia="宋体" w:cs="宋体"/>
                <w:b/>
                <w:bCs/>
                <w:i w:val="0"/>
                <w:iCs w:val="0"/>
                <w:color w:val="000000"/>
                <w:sz w:val="20"/>
                <w:szCs w:val="20"/>
                <w:u w:val="none"/>
              </w:rPr>
            </w:pPr>
          </w:p>
        </w:tc>
        <w:tc>
          <w:tcPr>
            <w:tcW w:w="123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605CD7">
            <w:pPr>
              <w:jc w:val="center"/>
              <w:rPr>
                <w:rFonts w:hint="eastAsia" w:ascii="宋体" w:hAnsi="宋体" w:eastAsia="宋体" w:cs="宋体"/>
                <w:i w:val="0"/>
                <w:iCs w:val="0"/>
                <w:color w:val="000000"/>
                <w:sz w:val="22"/>
                <w:szCs w:val="22"/>
                <w:u w:val="none"/>
              </w:rPr>
            </w:pPr>
          </w:p>
        </w:tc>
        <w:tc>
          <w:tcPr>
            <w:tcW w:w="2646" w:type="dxa"/>
            <w:tcBorders>
              <w:top w:val="single" w:color="auto" w:sz="4" w:space="0"/>
              <w:left w:val="single" w:color="auto" w:sz="4" w:space="0"/>
              <w:bottom w:val="single" w:color="auto" w:sz="4" w:space="0"/>
              <w:right w:val="single" w:color="auto" w:sz="4" w:space="0"/>
            </w:tcBorders>
            <w:shd w:val="clear" w:color="auto" w:fill="auto"/>
            <w:vAlign w:val="center"/>
          </w:tcPr>
          <w:p w14:paraId="1D20AD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系统融合技术服务项数</w:t>
            </w:r>
          </w:p>
        </w:tc>
        <w:tc>
          <w:tcPr>
            <w:tcW w:w="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08FB7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14:paraId="2AA80A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229" w:type="dxa"/>
            <w:tcBorders>
              <w:top w:val="single" w:color="auto" w:sz="4" w:space="0"/>
              <w:left w:val="single" w:color="auto" w:sz="4" w:space="0"/>
              <w:bottom w:val="single" w:color="auto" w:sz="4" w:space="0"/>
              <w:right w:val="single" w:color="auto" w:sz="4" w:space="0"/>
            </w:tcBorders>
            <w:shd w:val="clear" w:color="auto" w:fill="auto"/>
            <w:vAlign w:val="center"/>
          </w:tcPr>
          <w:p w14:paraId="711CA2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3566" w:type="dxa"/>
            <w:tcBorders>
              <w:top w:val="single" w:color="auto" w:sz="4" w:space="0"/>
              <w:left w:val="single" w:color="auto" w:sz="4" w:space="0"/>
              <w:bottom w:val="single" w:color="auto" w:sz="4" w:space="0"/>
              <w:right w:val="single" w:color="auto" w:sz="4" w:space="0"/>
            </w:tcBorders>
            <w:shd w:val="clear" w:color="auto" w:fill="auto"/>
            <w:vAlign w:val="center"/>
          </w:tcPr>
          <w:p w14:paraId="479EAC5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对贵安交警现有的视频监控平台（视频专网）、视频监控平台（公安内网）与亚行智慧交通项目融合进行技术服务，包含但不限于接口开发、系统授权、系统版本升级更新、数据库融合、系统架构融合等工作。</w:t>
            </w:r>
          </w:p>
        </w:tc>
        <w:tc>
          <w:tcPr>
            <w:tcW w:w="3012" w:type="dxa"/>
            <w:tcBorders>
              <w:top w:val="single" w:color="auto" w:sz="4" w:space="0"/>
              <w:left w:val="single" w:color="auto" w:sz="4" w:space="0"/>
              <w:bottom w:val="single" w:color="auto" w:sz="4" w:space="0"/>
              <w:right w:val="single" w:color="auto" w:sz="4" w:space="0"/>
            </w:tcBorders>
            <w:shd w:val="clear" w:color="auto" w:fill="auto"/>
            <w:vAlign w:val="center"/>
          </w:tcPr>
          <w:p w14:paraId="6D8A99C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评分标准：系统融合技术服务项数≥2项，得满分，否则不得分。</w:t>
            </w:r>
          </w:p>
        </w:tc>
      </w:tr>
      <w:tr w14:paraId="79E83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8" w:hRule="atLeast"/>
          <w:jc w:val="center"/>
        </w:trPr>
        <w:tc>
          <w:tcPr>
            <w:tcW w:w="1621" w:type="dxa"/>
            <w:vMerge w:val="restart"/>
            <w:tcBorders>
              <w:top w:val="single" w:color="auto" w:sz="4" w:space="0"/>
              <w:left w:val="single" w:color="auto" w:sz="4" w:space="0"/>
              <w:right w:val="single" w:color="auto" w:sz="4" w:space="0"/>
            </w:tcBorders>
            <w:shd w:val="clear" w:color="auto" w:fill="auto"/>
            <w:vAlign w:val="center"/>
          </w:tcPr>
          <w:p w14:paraId="58B2A76F">
            <w:pPr>
              <w:jc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产出指标</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14:paraId="6370E961">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数量指标</w:t>
            </w:r>
          </w:p>
        </w:tc>
        <w:tc>
          <w:tcPr>
            <w:tcW w:w="2646" w:type="dxa"/>
            <w:tcBorders>
              <w:top w:val="single" w:color="auto" w:sz="4" w:space="0"/>
              <w:left w:val="single" w:color="auto" w:sz="4" w:space="0"/>
              <w:bottom w:val="single" w:color="auto" w:sz="4" w:space="0"/>
              <w:right w:val="single" w:color="auto" w:sz="4" w:space="0"/>
            </w:tcBorders>
            <w:shd w:val="clear" w:color="auto" w:fill="auto"/>
            <w:vAlign w:val="center"/>
          </w:tcPr>
          <w:p w14:paraId="71B8FF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系统融合人员服务人数</w:t>
            </w:r>
          </w:p>
        </w:tc>
        <w:tc>
          <w:tcPr>
            <w:tcW w:w="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1F5BC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14:paraId="004E56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29" w:type="dxa"/>
            <w:tcBorders>
              <w:top w:val="single" w:color="auto" w:sz="4" w:space="0"/>
              <w:left w:val="single" w:color="auto" w:sz="4" w:space="0"/>
              <w:bottom w:val="single" w:color="auto" w:sz="4" w:space="0"/>
              <w:right w:val="single" w:color="auto" w:sz="4" w:space="0"/>
            </w:tcBorders>
            <w:shd w:val="clear" w:color="auto" w:fill="auto"/>
            <w:vAlign w:val="center"/>
          </w:tcPr>
          <w:p w14:paraId="3F6A29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w:t>
            </w:r>
          </w:p>
        </w:tc>
        <w:tc>
          <w:tcPr>
            <w:tcW w:w="3566" w:type="dxa"/>
            <w:tcBorders>
              <w:top w:val="single" w:color="auto" w:sz="4" w:space="0"/>
              <w:left w:val="single" w:color="auto" w:sz="4" w:space="0"/>
              <w:bottom w:val="single" w:color="auto" w:sz="4" w:space="0"/>
              <w:right w:val="single" w:color="auto" w:sz="4" w:space="0"/>
            </w:tcBorders>
            <w:shd w:val="clear" w:color="auto" w:fill="auto"/>
            <w:vAlign w:val="center"/>
          </w:tcPr>
          <w:p w14:paraId="127FE3B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系统工程师驻场进行系统融合服务。</w:t>
            </w:r>
          </w:p>
        </w:tc>
        <w:tc>
          <w:tcPr>
            <w:tcW w:w="3012" w:type="dxa"/>
            <w:tcBorders>
              <w:top w:val="single" w:color="auto" w:sz="4" w:space="0"/>
              <w:left w:val="single" w:color="auto" w:sz="4" w:space="0"/>
              <w:bottom w:val="single" w:color="auto" w:sz="4" w:space="0"/>
              <w:right w:val="single" w:color="auto" w:sz="4" w:space="0"/>
            </w:tcBorders>
            <w:shd w:val="clear" w:color="auto" w:fill="auto"/>
            <w:vAlign w:val="center"/>
          </w:tcPr>
          <w:p w14:paraId="516B782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评分标准：系统融合人员服务人数≥1名，得满分，否则不得分。</w:t>
            </w:r>
          </w:p>
        </w:tc>
      </w:tr>
      <w:tr w14:paraId="1604A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8" w:hRule="atLeast"/>
          <w:jc w:val="center"/>
        </w:trPr>
        <w:tc>
          <w:tcPr>
            <w:tcW w:w="1621" w:type="dxa"/>
            <w:vMerge w:val="continue"/>
            <w:tcBorders>
              <w:left w:val="single" w:color="auto" w:sz="4" w:space="0"/>
              <w:right w:val="single" w:color="auto" w:sz="4" w:space="0"/>
            </w:tcBorders>
            <w:shd w:val="clear" w:color="auto" w:fill="auto"/>
            <w:vAlign w:val="center"/>
          </w:tcPr>
          <w:p w14:paraId="43E1A0E0">
            <w:pPr>
              <w:jc w:val="center"/>
              <w:rPr>
                <w:rFonts w:hint="eastAsia" w:ascii="宋体" w:hAnsi="宋体" w:eastAsia="宋体" w:cs="宋体"/>
                <w:b/>
                <w:bCs/>
                <w:i w:val="0"/>
                <w:iCs w:val="0"/>
                <w:color w:val="000000"/>
                <w:sz w:val="20"/>
                <w:szCs w:val="20"/>
                <w:u w:val="none"/>
              </w:rPr>
            </w:pP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14:paraId="22E2EB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质量指标</w:t>
            </w:r>
          </w:p>
        </w:tc>
        <w:tc>
          <w:tcPr>
            <w:tcW w:w="2646" w:type="dxa"/>
            <w:tcBorders>
              <w:top w:val="single" w:color="auto" w:sz="4" w:space="0"/>
              <w:left w:val="single" w:color="auto" w:sz="4" w:space="0"/>
              <w:bottom w:val="single" w:color="auto" w:sz="4" w:space="0"/>
              <w:right w:val="single" w:color="auto" w:sz="4" w:space="0"/>
            </w:tcBorders>
            <w:shd w:val="clear" w:color="auto" w:fill="auto"/>
            <w:vAlign w:val="center"/>
          </w:tcPr>
          <w:p w14:paraId="216D06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验收合格率</w:t>
            </w:r>
          </w:p>
        </w:tc>
        <w:tc>
          <w:tcPr>
            <w:tcW w:w="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2375A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14:paraId="22EC96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w:t>
            </w:r>
          </w:p>
        </w:tc>
        <w:tc>
          <w:tcPr>
            <w:tcW w:w="1229" w:type="dxa"/>
            <w:tcBorders>
              <w:top w:val="single" w:color="auto" w:sz="4" w:space="0"/>
              <w:left w:val="single" w:color="auto" w:sz="4" w:space="0"/>
              <w:bottom w:val="single" w:color="auto" w:sz="4" w:space="0"/>
              <w:right w:val="single" w:color="auto" w:sz="4" w:space="0"/>
            </w:tcBorders>
            <w:shd w:val="clear" w:color="auto" w:fill="auto"/>
            <w:vAlign w:val="center"/>
          </w:tcPr>
          <w:p w14:paraId="0FCEC0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3566" w:type="dxa"/>
            <w:tcBorders>
              <w:top w:val="single" w:color="auto" w:sz="4" w:space="0"/>
              <w:left w:val="single" w:color="auto" w:sz="4" w:space="0"/>
              <w:bottom w:val="single" w:color="auto" w:sz="4" w:space="0"/>
              <w:right w:val="single" w:color="auto" w:sz="4" w:space="0"/>
            </w:tcBorders>
            <w:shd w:val="clear" w:color="auto" w:fill="auto"/>
            <w:vAlign w:val="center"/>
          </w:tcPr>
          <w:p w14:paraId="7312659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反映项目验收合格情况</w:t>
            </w:r>
          </w:p>
        </w:tc>
        <w:tc>
          <w:tcPr>
            <w:tcW w:w="3012" w:type="dxa"/>
            <w:tcBorders>
              <w:top w:val="single" w:color="auto" w:sz="4" w:space="0"/>
              <w:left w:val="single" w:color="auto" w:sz="4" w:space="0"/>
              <w:bottom w:val="single" w:color="auto" w:sz="4" w:space="0"/>
              <w:right w:val="single" w:color="auto" w:sz="4" w:space="0"/>
            </w:tcBorders>
            <w:shd w:val="clear" w:color="auto" w:fill="auto"/>
            <w:vAlign w:val="center"/>
          </w:tcPr>
          <w:p w14:paraId="118C702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评分标准：验收合格率≥95%，得满分，否则不得分。</w:t>
            </w:r>
          </w:p>
        </w:tc>
      </w:tr>
      <w:tr w14:paraId="2AF05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4" w:hRule="atLeast"/>
          <w:jc w:val="center"/>
        </w:trPr>
        <w:tc>
          <w:tcPr>
            <w:tcW w:w="1621" w:type="dxa"/>
            <w:vMerge w:val="continue"/>
            <w:tcBorders>
              <w:left w:val="single" w:color="auto" w:sz="4" w:space="0"/>
              <w:right w:val="single" w:color="auto" w:sz="4" w:space="0"/>
            </w:tcBorders>
            <w:shd w:val="clear" w:color="auto" w:fill="auto"/>
            <w:vAlign w:val="center"/>
          </w:tcPr>
          <w:p w14:paraId="52904DCD">
            <w:pPr>
              <w:jc w:val="center"/>
              <w:rPr>
                <w:rFonts w:hint="eastAsia" w:ascii="宋体" w:hAnsi="宋体" w:eastAsia="宋体" w:cs="宋体"/>
                <w:b/>
                <w:bCs/>
                <w:i w:val="0"/>
                <w:iCs w:val="0"/>
                <w:color w:val="000000"/>
                <w:sz w:val="20"/>
                <w:szCs w:val="20"/>
                <w:u w:val="none"/>
              </w:rPr>
            </w:pP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14:paraId="2D958B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时效指标</w:t>
            </w:r>
          </w:p>
        </w:tc>
        <w:tc>
          <w:tcPr>
            <w:tcW w:w="2646" w:type="dxa"/>
            <w:tcBorders>
              <w:top w:val="single" w:color="auto" w:sz="4" w:space="0"/>
              <w:left w:val="single" w:color="auto" w:sz="4" w:space="0"/>
              <w:bottom w:val="single" w:color="auto" w:sz="4" w:space="0"/>
              <w:right w:val="single" w:color="auto" w:sz="4" w:space="0"/>
            </w:tcBorders>
            <w:shd w:val="clear" w:color="auto" w:fill="auto"/>
            <w:vAlign w:val="center"/>
          </w:tcPr>
          <w:p w14:paraId="2E8E75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项目完成及时性</w:t>
            </w:r>
          </w:p>
        </w:tc>
        <w:tc>
          <w:tcPr>
            <w:tcW w:w="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5A268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定性</w:t>
            </w:r>
          </w:p>
        </w:tc>
        <w:tc>
          <w:tcPr>
            <w:tcW w:w="8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CF494E">
            <w:pPr>
              <w:keepNext w:val="0"/>
              <w:keepLines w:val="0"/>
              <w:widowControl/>
              <w:suppressLineNumbers w:val="0"/>
              <w:jc w:val="center"/>
              <w:textAlignment w:val="center"/>
              <w:rPr>
                <w:rFonts w:ascii="等线" w:hAnsi="等线" w:eastAsia="等线" w:cs="等线"/>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及时</w:t>
            </w:r>
          </w:p>
        </w:tc>
        <w:tc>
          <w:tcPr>
            <w:tcW w:w="1229" w:type="dxa"/>
            <w:tcBorders>
              <w:top w:val="single" w:color="auto" w:sz="4" w:space="0"/>
              <w:left w:val="single" w:color="auto" w:sz="4" w:space="0"/>
              <w:bottom w:val="single" w:color="auto" w:sz="4" w:space="0"/>
              <w:right w:val="single" w:color="auto" w:sz="4" w:space="0"/>
            </w:tcBorders>
            <w:shd w:val="clear" w:color="auto" w:fill="auto"/>
            <w:vAlign w:val="center"/>
          </w:tcPr>
          <w:p w14:paraId="5B211D8F">
            <w:pPr>
              <w:jc w:val="center"/>
              <w:rPr>
                <w:rFonts w:hint="eastAsia" w:ascii="宋体" w:hAnsi="宋体" w:eastAsia="宋体" w:cs="宋体"/>
                <w:i w:val="0"/>
                <w:iCs w:val="0"/>
                <w:color w:val="000000"/>
                <w:sz w:val="22"/>
                <w:szCs w:val="22"/>
                <w:u w:val="none"/>
              </w:rPr>
            </w:pPr>
          </w:p>
        </w:tc>
        <w:tc>
          <w:tcPr>
            <w:tcW w:w="3566" w:type="dxa"/>
            <w:tcBorders>
              <w:top w:val="single" w:color="auto" w:sz="4" w:space="0"/>
              <w:left w:val="single" w:color="auto" w:sz="4" w:space="0"/>
              <w:bottom w:val="single" w:color="auto" w:sz="4" w:space="0"/>
              <w:right w:val="single" w:color="auto" w:sz="4" w:space="0"/>
            </w:tcBorders>
            <w:shd w:val="clear" w:color="auto" w:fill="auto"/>
            <w:vAlign w:val="center"/>
          </w:tcPr>
          <w:p w14:paraId="0C8BE58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反映项目是否在2025</w:t>
            </w:r>
            <w:r>
              <w:rPr>
                <w:rFonts w:hint="eastAsia" w:ascii="宋体" w:hAnsi="宋体" w:cs="宋体"/>
                <w:i w:val="0"/>
                <w:iCs w:val="0"/>
                <w:color w:val="000000"/>
                <w:kern w:val="0"/>
                <w:sz w:val="20"/>
                <w:szCs w:val="20"/>
                <w:u w:val="none"/>
                <w:lang w:val="en-US" w:eastAsia="zh-CN" w:bidi="ar"/>
              </w:rPr>
              <w:t>年</w:t>
            </w:r>
            <w:r>
              <w:rPr>
                <w:rFonts w:hint="eastAsia" w:ascii="宋体" w:hAnsi="宋体" w:eastAsia="宋体" w:cs="宋体"/>
                <w:i w:val="0"/>
                <w:iCs w:val="0"/>
                <w:color w:val="000000"/>
                <w:kern w:val="0"/>
                <w:sz w:val="20"/>
                <w:szCs w:val="20"/>
                <w:u w:val="none"/>
                <w:lang w:val="en-US" w:eastAsia="zh-CN" w:bidi="ar"/>
              </w:rPr>
              <w:t>12</w:t>
            </w:r>
            <w:r>
              <w:rPr>
                <w:rFonts w:hint="eastAsia" w:ascii="宋体" w:hAnsi="宋体" w:cs="宋体"/>
                <w:i w:val="0"/>
                <w:iCs w:val="0"/>
                <w:color w:val="000000"/>
                <w:kern w:val="0"/>
                <w:sz w:val="20"/>
                <w:szCs w:val="20"/>
                <w:u w:val="none"/>
                <w:lang w:val="en-US" w:eastAsia="zh-CN" w:bidi="ar"/>
              </w:rPr>
              <w:t>月</w:t>
            </w:r>
            <w:r>
              <w:rPr>
                <w:rFonts w:hint="eastAsia" w:ascii="宋体" w:hAnsi="宋体" w:eastAsia="宋体" w:cs="宋体"/>
                <w:i w:val="0"/>
                <w:iCs w:val="0"/>
                <w:color w:val="000000"/>
                <w:kern w:val="0"/>
                <w:sz w:val="20"/>
                <w:szCs w:val="20"/>
                <w:u w:val="none"/>
                <w:lang w:val="en-US" w:eastAsia="zh-CN" w:bidi="ar"/>
              </w:rPr>
              <w:t>31</w:t>
            </w:r>
            <w:r>
              <w:rPr>
                <w:rFonts w:hint="eastAsia" w:ascii="宋体" w:hAnsi="宋体" w:cs="宋体"/>
                <w:i w:val="0"/>
                <w:iCs w:val="0"/>
                <w:color w:val="000000"/>
                <w:kern w:val="0"/>
                <w:sz w:val="20"/>
                <w:szCs w:val="20"/>
                <w:u w:val="none"/>
                <w:lang w:val="en-US" w:eastAsia="zh-CN" w:bidi="ar"/>
              </w:rPr>
              <w:t>日</w:t>
            </w:r>
            <w:r>
              <w:rPr>
                <w:rFonts w:hint="eastAsia" w:ascii="宋体" w:hAnsi="宋体" w:eastAsia="宋体" w:cs="宋体"/>
                <w:i w:val="0"/>
                <w:iCs w:val="0"/>
                <w:color w:val="000000"/>
                <w:kern w:val="0"/>
                <w:sz w:val="20"/>
                <w:szCs w:val="20"/>
                <w:u w:val="none"/>
                <w:lang w:val="en-US" w:eastAsia="zh-CN" w:bidi="ar"/>
              </w:rPr>
              <w:t>前及时完成</w:t>
            </w:r>
          </w:p>
        </w:tc>
        <w:tc>
          <w:tcPr>
            <w:tcW w:w="3012" w:type="dxa"/>
            <w:tcBorders>
              <w:top w:val="single" w:color="auto" w:sz="4" w:space="0"/>
              <w:left w:val="single" w:color="auto" w:sz="4" w:space="0"/>
              <w:bottom w:val="single" w:color="auto" w:sz="4" w:space="0"/>
              <w:right w:val="single" w:color="auto" w:sz="4" w:space="0"/>
            </w:tcBorders>
            <w:shd w:val="clear" w:color="auto" w:fill="auto"/>
            <w:vAlign w:val="center"/>
          </w:tcPr>
          <w:p w14:paraId="417965E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评分标准：及时，得满分，否则不得分。（在2025</w:t>
            </w:r>
            <w:r>
              <w:rPr>
                <w:rFonts w:hint="eastAsia" w:ascii="宋体" w:hAnsi="宋体" w:cs="宋体"/>
                <w:i w:val="0"/>
                <w:iCs w:val="0"/>
                <w:color w:val="000000"/>
                <w:kern w:val="0"/>
                <w:sz w:val="20"/>
                <w:szCs w:val="20"/>
                <w:u w:val="none"/>
                <w:lang w:val="en-US" w:eastAsia="zh-CN" w:bidi="ar"/>
              </w:rPr>
              <w:t>年</w:t>
            </w:r>
            <w:r>
              <w:rPr>
                <w:rFonts w:hint="eastAsia" w:ascii="宋体" w:hAnsi="宋体" w:eastAsia="宋体" w:cs="宋体"/>
                <w:i w:val="0"/>
                <w:iCs w:val="0"/>
                <w:color w:val="000000"/>
                <w:kern w:val="0"/>
                <w:sz w:val="20"/>
                <w:szCs w:val="20"/>
                <w:u w:val="none"/>
                <w:lang w:val="en-US" w:eastAsia="zh-CN" w:bidi="ar"/>
              </w:rPr>
              <w:t>12</w:t>
            </w:r>
            <w:r>
              <w:rPr>
                <w:rFonts w:hint="eastAsia" w:ascii="宋体" w:hAnsi="宋体" w:cs="宋体"/>
                <w:i w:val="0"/>
                <w:iCs w:val="0"/>
                <w:color w:val="000000"/>
                <w:kern w:val="0"/>
                <w:sz w:val="20"/>
                <w:szCs w:val="20"/>
                <w:u w:val="none"/>
                <w:lang w:val="en-US" w:eastAsia="zh-CN" w:bidi="ar"/>
              </w:rPr>
              <w:t>月</w:t>
            </w:r>
            <w:r>
              <w:rPr>
                <w:rFonts w:hint="eastAsia" w:ascii="宋体" w:hAnsi="宋体" w:eastAsia="宋体" w:cs="宋体"/>
                <w:i w:val="0"/>
                <w:iCs w:val="0"/>
                <w:color w:val="000000"/>
                <w:kern w:val="0"/>
                <w:sz w:val="20"/>
                <w:szCs w:val="20"/>
                <w:u w:val="none"/>
                <w:lang w:val="en-US" w:eastAsia="zh-CN" w:bidi="ar"/>
              </w:rPr>
              <w:t>31</w:t>
            </w:r>
            <w:r>
              <w:rPr>
                <w:rFonts w:hint="eastAsia" w:ascii="宋体" w:hAnsi="宋体" w:cs="宋体"/>
                <w:i w:val="0"/>
                <w:iCs w:val="0"/>
                <w:color w:val="000000"/>
                <w:kern w:val="0"/>
                <w:sz w:val="20"/>
                <w:szCs w:val="20"/>
                <w:u w:val="none"/>
                <w:lang w:val="en-US" w:eastAsia="zh-CN" w:bidi="ar"/>
              </w:rPr>
              <w:t>日</w:t>
            </w:r>
            <w:r>
              <w:rPr>
                <w:rFonts w:hint="eastAsia" w:ascii="宋体" w:hAnsi="宋体" w:eastAsia="宋体" w:cs="宋体"/>
                <w:i w:val="0"/>
                <w:iCs w:val="0"/>
                <w:color w:val="000000"/>
                <w:kern w:val="0"/>
                <w:sz w:val="20"/>
                <w:szCs w:val="20"/>
                <w:u w:val="none"/>
                <w:lang w:val="en-US" w:eastAsia="zh-CN" w:bidi="ar"/>
              </w:rPr>
              <w:t>前完成为及时）</w:t>
            </w:r>
          </w:p>
        </w:tc>
      </w:tr>
      <w:tr w14:paraId="2BBA0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4" w:hRule="atLeast"/>
          <w:jc w:val="center"/>
        </w:trPr>
        <w:tc>
          <w:tcPr>
            <w:tcW w:w="1621" w:type="dxa"/>
            <w:vMerge w:val="continue"/>
            <w:tcBorders>
              <w:left w:val="single" w:color="auto" w:sz="4" w:space="0"/>
              <w:right w:val="single" w:color="auto" w:sz="4" w:space="0"/>
            </w:tcBorders>
            <w:shd w:val="clear" w:color="auto" w:fill="auto"/>
            <w:vAlign w:val="center"/>
          </w:tcPr>
          <w:p w14:paraId="0B5F0BBF">
            <w:pPr>
              <w:jc w:val="center"/>
              <w:rPr>
                <w:rFonts w:hint="eastAsia" w:ascii="宋体" w:hAnsi="宋体" w:eastAsia="宋体" w:cs="宋体"/>
                <w:b/>
                <w:bCs/>
                <w:i w:val="0"/>
                <w:iCs w:val="0"/>
                <w:color w:val="000000"/>
                <w:sz w:val="20"/>
                <w:szCs w:val="20"/>
                <w:u w:val="none"/>
              </w:rPr>
            </w:pPr>
          </w:p>
        </w:tc>
        <w:tc>
          <w:tcPr>
            <w:tcW w:w="123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9B7DA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成本指标</w:t>
            </w:r>
          </w:p>
        </w:tc>
        <w:tc>
          <w:tcPr>
            <w:tcW w:w="2646" w:type="dxa"/>
            <w:tcBorders>
              <w:top w:val="single" w:color="auto" w:sz="4" w:space="0"/>
              <w:left w:val="single" w:color="auto" w:sz="4" w:space="0"/>
              <w:bottom w:val="single" w:color="auto" w:sz="4" w:space="0"/>
              <w:right w:val="single" w:color="auto" w:sz="4" w:space="0"/>
            </w:tcBorders>
            <w:shd w:val="clear" w:color="auto" w:fill="auto"/>
            <w:vAlign w:val="center"/>
          </w:tcPr>
          <w:p w14:paraId="3D9E5D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每处路口、路段信号控制设施维护成本单价</w:t>
            </w:r>
          </w:p>
        </w:tc>
        <w:tc>
          <w:tcPr>
            <w:tcW w:w="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D50D7D4">
            <w:pPr>
              <w:keepNext w:val="0"/>
              <w:keepLines w:val="0"/>
              <w:widowControl/>
              <w:suppressLineNumbers w:val="0"/>
              <w:jc w:val="center"/>
              <w:textAlignment w:val="center"/>
              <w:rPr>
                <w:rFonts w:ascii="仿宋_GB2312" w:hAnsi="宋体" w:eastAsia="仿宋_GB2312" w:cs="仿宋_GB2312"/>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14:paraId="67B561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7800</w:t>
            </w:r>
          </w:p>
        </w:tc>
        <w:tc>
          <w:tcPr>
            <w:tcW w:w="1229" w:type="dxa"/>
            <w:tcBorders>
              <w:top w:val="single" w:color="auto" w:sz="4" w:space="0"/>
              <w:left w:val="single" w:color="auto" w:sz="4" w:space="0"/>
              <w:bottom w:val="single" w:color="auto" w:sz="4" w:space="0"/>
              <w:right w:val="single" w:color="auto" w:sz="4" w:space="0"/>
            </w:tcBorders>
            <w:shd w:val="clear" w:color="auto" w:fill="auto"/>
            <w:vAlign w:val="center"/>
          </w:tcPr>
          <w:p w14:paraId="5E9E34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w:t>
            </w:r>
          </w:p>
        </w:tc>
        <w:tc>
          <w:tcPr>
            <w:tcW w:w="3566" w:type="dxa"/>
            <w:tcBorders>
              <w:top w:val="single" w:color="auto" w:sz="4" w:space="0"/>
              <w:left w:val="single" w:color="auto" w:sz="4" w:space="0"/>
              <w:bottom w:val="single" w:color="auto" w:sz="4" w:space="0"/>
              <w:right w:val="single" w:color="auto" w:sz="4" w:space="0"/>
            </w:tcBorders>
            <w:shd w:val="clear" w:color="auto" w:fill="auto"/>
            <w:vAlign w:val="center"/>
          </w:tcPr>
          <w:p w14:paraId="36F1FC8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反映每处路口、路段信号控制设施维护成本单价情况</w:t>
            </w:r>
          </w:p>
        </w:tc>
        <w:tc>
          <w:tcPr>
            <w:tcW w:w="3012" w:type="dxa"/>
            <w:tcBorders>
              <w:top w:val="single" w:color="auto" w:sz="4" w:space="0"/>
              <w:left w:val="single" w:color="auto" w:sz="4" w:space="0"/>
              <w:bottom w:val="single" w:color="auto" w:sz="4" w:space="0"/>
              <w:right w:val="single" w:color="auto" w:sz="4" w:space="0"/>
            </w:tcBorders>
            <w:shd w:val="clear" w:color="auto" w:fill="auto"/>
            <w:vAlign w:val="center"/>
          </w:tcPr>
          <w:p w14:paraId="0E35900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评分标准：每处路口、路段信号控制设施维护成本单价≤7800元，得满分，否则不得分。</w:t>
            </w:r>
          </w:p>
        </w:tc>
      </w:tr>
      <w:tr w14:paraId="57624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8" w:hRule="atLeast"/>
          <w:jc w:val="center"/>
        </w:trPr>
        <w:tc>
          <w:tcPr>
            <w:tcW w:w="1621" w:type="dxa"/>
            <w:vMerge w:val="continue"/>
            <w:tcBorders>
              <w:left w:val="single" w:color="auto" w:sz="4" w:space="0"/>
              <w:right w:val="single" w:color="auto" w:sz="4" w:space="0"/>
            </w:tcBorders>
            <w:shd w:val="clear" w:color="auto" w:fill="auto"/>
            <w:vAlign w:val="center"/>
          </w:tcPr>
          <w:p w14:paraId="0F60A43C">
            <w:pPr>
              <w:jc w:val="center"/>
              <w:rPr>
                <w:rFonts w:hint="eastAsia" w:ascii="宋体" w:hAnsi="宋体" w:eastAsia="宋体" w:cs="宋体"/>
                <w:b/>
                <w:bCs/>
                <w:i w:val="0"/>
                <w:iCs w:val="0"/>
                <w:color w:val="000000"/>
                <w:sz w:val="20"/>
                <w:szCs w:val="20"/>
                <w:u w:val="none"/>
              </w:rPr>
            </w:pPr>
          </w:p>
        </w:tc>
        <w:tc>
          <w:tcPr>
            <w:tcW w:w="123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7542EC">
            <w:pPr>
              <w:jc w:val="center"/>
              <w:rPr>
                <w:rFonts w:hint="eastAsia" w:ascii="宋体" w:hAnsi="宋体" w:eastAsia="宋体" w:cs="宋体"/>
                <w:i w:val="0"/>
                <w:iCs w:val="0"/>
                <w:color w:val="000000"/>
                <w:sz w:val="22"/>
                <w:szCs w:val="22"/>
                <w:u w:val="none"/>
              </w:rPr>
            </w:pPr>
          </w:p>
        </w:tc>
        <w:tc>
          <w:tcPr>
            <w:tcW w:w="2646" w:type="dxa"/>
            <w:tcBorders>
              <w:top w:val="single" w:color="auto" w:sz="4" w:space="0"/>
              <w:left w:val="single" w:color="auto" w:sz="4" w:space="0"/>
              <w:bottom w:val="single" w:color="auto" w:sz="4" w:space="0"/>
              <w:right w:val="single" w:color="auto" w:sz="4" w:space="0"/>
            </w:tcBorders>
            <w:shd w:val="clear" w:color="auto" w:fill="auto"/>
            <w:vAlign w:val="center"/>
          </w:tcPr>
          <w:p w14:paraId="58E1FA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每项技术服务成本</w:t>
            </w:r>
          </w:p>
        </w:tc>
        <w:tc>
          <w:tcPr>
            <w:tcW w:w="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A6888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14:paraId="407209A1">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7</w:t>
            </w:r>
            <w:r>
              <w:rPr>
                <w:rFonts w:hint="eastAsia" w:ascii="宋体" w:hAnsi="宋体" w:cs="宋体"/>
                <w:i w:val="0"/>
                <w:iCs w:val="0"/>
                <w:color w:val="000000"/>
                <w:kern w:val="0"/>
                <w:sz w:val="22"/>
                <w:szCs w:val="22"/>
                <w:u w:val="none"/>
                <w:lang w:val="en-US" w:eastAsia="zh-CN" w:bidi="ar"/>
              </w:rPr>
              <w:t>0000</w:t>
            </w:r>
          </w:p>
        </w:tc>
        <w:tc>
          <w:tcPr>
            <w:tcW w:w="1229" w:type="dxa"/>
            <w:tcBorders>
              <w:top w:val="single" w:color="auto" w:sz="4" w:space="0"/>
              <w:left w:val="single" w:color="auto" w:sz="4" w:space="0"/>
              <w:bottom w:val="single" w:color="auto" w:sz="4" w:space="0"/>
              <w:right w:val="single" w:color="auto" w:sz="4" w:space="0"/>
            </w:tcBorders>
            <w:shd w:val="clear" w:color="auto" w:fill="auto"/>
            <w:vAlign w:val="center"/>
          </w:tcPr>
          <w:p w14:paraId="1E2DF4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元/年</w:t>
            </w:r>
          </w:p>
        </w:tc>
        <w:tc>
          <w:tcPr>
            <w:tcW w:w="3566" w:type="dxa"/>
            <w:tcBorders>
              <w:top w:val="single" w:color="auto" w:sz="4" w:space="0"/>
              <w:left w:val="single" w:color="auto" w:sz="4" w:space="0"/>
              <w:bottom w:val="single" w:color="auto" w:sz="4" w:space="0"/>
              <w:right w:val="single" w:color="auto" w:sz="4" w:space="0"/>
            </w:tcBorders>
            <w:shd w:val="clear" w:color="auto" w:fill="auto"/>
            <w:vAlign w:val="center"/>
          </w:tcPr>
          <w:p w14:paraId="09F7C2B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反映每项技术服务成本情况</w:t>
            </w:r>
          </w:p>
        </w:tc>
        <w:tc>
          <w:tcPr>
            <w:tcW w:w="3012" w:type="dxa"/>
            <w:tcBorders>
              <w:top w:val="single" w:color="auto" w:sz="4" w:space="0"/>
              <w:left w:val="single" w:color="auto" w:sz="4" w:space="0"/>
              <w:bottom w:val="single" w:color="auto" w:sz="4" w:space="0"/>
              <w:right w:val="single" w:color="auto" w:sz="4" w:space="0"/>
            </w:tcBorders>
            <w:shd w:val="clear" w:color="auto" w:fill="auto"/>
            <w:vAlign w:val="center"/>
          </w:tcPr>
          <w:p w14:paraId="319B7CC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评分标准：每项技术服务成本≤</w:t>
            </w:r>
            <w:r>
              <w:rPr>
                <w:rFonts w:hint="eastAsia" w:ascii="宋体" w:hAnsi="宋体" w:cs="宋体"/>
                <w:i w:val="0"/>
                <w:iCs w:val="0"/>
                <w:color w:val="000000"/>
                <w:kern w:val="0"/>
                <w:sz w:val="20"/>
                <w:szCs w:val="20"/>
                <w:u w:val="none"/>
                <w:lang w:val="en-US" w:eastAsia="zh-CN" w:bidi="ar"/>
              </w:rPr>
              <w:t>70000</w:t>
            </w:r>
            <w:r>
              <w:rPr>
                <w:rFonts w:hint="eastAsia" w:ascii="宋体" w:hAnsi="宋体" w:eastAsia="宋体" w:cs="宋体"/>
                <w:i w:val="0"/>
                <w:iCs w:val="0"/>
                <w:color w:val="000000"/>
                <w:kern w:val="0"/>
                <w:sz w:val="20"/>
                <w:szCs w:val="20"/>
                <w:u w:val="none"/>
                <w:lang w:val="en-US" w:eastAsia="zh-CN" w:bidi="ar"/>
              </w:rPr>
              <w:t>元/年，得满分，否则不得分。</w:t>
            </w:r>
          </w:p>
        </w:tc>
      </w:tr>
      <w:tr w14:paraId="0887E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8" w:hRule="atLeast"/>
          <w:jc w:val="center"/>
        </w:trPr>
        <w:tc>
          <w:tcPr>
            <w:tcW w:w="1621" w:type="dxa"/>
            <w:vMerge w:val="continue"/>
            <w:tcBorders>
              <w:left w:val="single" w:color="auto" w:sz="4" w:space="0"/>
              <w:bottom w:val="single" w:color="auto" w:sz="4" w:space="0"/>
              <w:right w:val="single" w:color="auto" w:sz="4" w:space="0"/>
            </w:tcBorders>
            <w:shd w:val="clear" w:color="auto" w:fill="auto"/>
            <w:vAlign w:val="center"/>
          </w:tcPr>
          <w:p w14:paraId="167ED308">
            <w:pPr>
              <w:jc w:val="center"/>
              <w:rPr>
                <w:rFonts w:hint="eastAsia" w:ascii="宋体" w:hAnsi="宋体" w:eastAsia="宋体" w:cs="宋体"/>
                <w:b/>
                <w:bCs/>
                <w:i w:val="0"/>
                <w:iCs w:val="0"/>
                <w:color w:val="000000"/>
                <w:sz w:val="20"/>
                <w:szCs w:val="20"/>
                <w:u w:val="none"/>
              </w:rPr>
            </w:pPr>
          </w:p>
        </w:tc>
        <w:tc>
          <w:tcPr>
            <w:tcW w:w="123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035ACF3">
            <w:pPr>
              <w:jc w:val="center"/>
              <w:rPr>
                <w:rFonts w:hint="eastAsia" w:ascii="宋体" w:hAnsi="宋体" w:eastAsia="宋体" w:cs="宋体"/>
                <w:i w:val="0"/>
                <w:iCs w:val="0"/>
                <w:color w:val="000000"/>
                <w:sz w:val="22"/>
                <w:szCs w:val="22"/>
                <w:u w:val="none"/>
              </w:rPr>
            </w:pPr>
          </w:p>
        </w:tc>
        <w:tc>
          <w:tcPr>
            <w:tcW w:w="2646" w:type="dxa"/>
            <w:tcBorders>
              <w:top w:val="single" w:color="auto" w:sz="4" w:space="0"/>
              <w:left w:val="single" w:color="auto" w:sz="4" w:space="0"/>
              <w:bottom w:val="single" w:color="auto" w:sz="4" w:space="0"/>
              <w:right w:val="single" w:color="auto" w:sz="4" w:space="0"/>
            </w:tcBorders>
            <w:shd w:val="clear" w:color="auto" w:fill="auto"/>
            <w:vAlign w:val="center"/>
          </w:tcPr>
          <w:p w14:paraId="0F119B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系统融合人员服务费用</w:t>
            </w:r>
          </w:p>
        </w:tc>
        <w:tc>
          <w:tcPr>
            <w:tcW w:w="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CCB4F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14:paraId="7914766C">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12</w:t>
            </w:r>
            <w:r>
              <w:rPr>
                <w:rFonts w:hint="eastAsia" w:ascii="宋体" w:hAnsi="宋体" w:cs="宋体"/>
                <w:i w:val="0"/>
                <w:iCs w:val="0"/>
                <w:color w:val="000000"/>
                <w:kern w:val="0"/>
                <w:sz w:val="22"/>
                <w:szCs w:val="22"/>
                <w:u w:val="none"/>
                <w:lang w:val="en-US" w:eastAsia="zh-CN" w:bidi="ar"/>
              </w:rPr>
              <w:t>0000</w:t>
            </w:r>
          </w:p>
        </w:tc>
        <w:tc>
          <w:tcPr>
            <w:tcW w:w="1229" w:type="dxa"/>
            <w:tcBorders>
              <w:top w:val="single" w:color="auto" w:sz="4" w:space="0"/>
              <w:left w:val="single" w:color="auto" w:sz="4" w:space="0"/>
              <w:bottom w:val="single" w:color="auto" w:sz="4" w:space="0"/>
              <w:right w:val="single" w:color="auto" w:sz="4" w:space="0"/>
            </w:tcBorders>
            <w:shd w:val="clear" w:color="auto" w:fill="auto"/>
            <w:vAlign w:val="center"/>
          </w:tcPr>
          <w:p w14:paraId="2593B1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元/年</w:t>
            </w:r>
          </w:p>
        </w:tc>
        <w:tc>
          <w:tcPr>
            <w:tcW w:w="3566" w:type="dxa"/>
            <w:tcBorders>
              <w:top w:val="single" w:color="auto" w:sz="4" w:space="0"/>
              <w:left w:val="single" w:color="auto" w:sz="4" w:space="0"/>
              <w:bottom w:val="single" w:color="auto" w:sz="4" w:space="0"/>
              <w:right w:val="single" w:color="auto" w:sz="4" w:space="0"/>
            </w:tcBorders>
            <w:shd w:val="clear" w:color="auto" w:fill="auto"/>
            <w:vAlign w:val="center"/>
          </w:tcPr>
          <w:p w14:paraId="17E78EA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反映系统融合人员服务费用情况</w:t>
            </w:r>
          </w:p>
        </w:tc>
        <w:tc>
          <w:tcPr>
            <w:tcW w:w="3012" w:type="dxa"/>
            <w:tcBorders>
              <w:top w:val="single" w:color="auto" w:sz="4" w:space="0"/>
              <w:left w:val="single" w:color="auto" w:sz="4" w:space="0"/>
              <w:bottom w:val="single" w:color="auto" w:sz="4" w:space="0"/>
              <w:right w:val="single" w:color="auto" w:sz="4" w:space="0"/>
            </w:tcBorders>
            <w:shd w:val="clear" w:color="auto" w:fill="auto"/>
            <w:vAlign w:val="center"/>
          </w:tcPr>
          <w:p w14:paraId="6D89CEA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评分标准：系统融合人员服务费用≤12</w:t>
            </w:r>
            <w:r>
              <w:rPr>
                <w:rFonts w:hint="eastAsia" w:ascii="宋体" w:hAnsi="宋体" w:cs="宋体"/>
                <w:i w:val="0"/>
                <w:iCs w:val="0"/>
                <w:color w:val="000000"/>
                <w:kern w:val="0"/>
                <w:sz w:val="20"/>
                <w:szCs w:val="20"/>
                <w:u w:val="none"/>
                <w:lang w:val="en-US" w:eastAsia="zh-CN" w:bidi="ar"/>
              </w:rPr>
              <w:t>0000</w:t>
            </w:r>
            <w:r>
              <w:rPr>
                <w:rFonts w:hint="eastAsia" w:ascii="宋体" w:hAnsi="宋体" w:eastAsia="宋体" w:cs="宋体"/>
                <w:i w:val="0"/>
                <w:iCs w:val="0"/>
                <w:color w:val="000000"/>
                <w:kern w:val="0"/>
                <w:sz w:val="20"/>
                <w:szCs w:val="20"/>
                <w:u w:val="none"/>
                <w:lang w:val="en-US" w:eastAsia="zh-CN" w:bidi="ar"/>
              </w:rPr>
              <w:t>元，得满分，否则不得分。</w:t>
            </w:r>
          </w:p>
        </w:tc>
      </w:tr>
      <w:tr w14:paraId="1BC19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8" w:hRule="atLeast"/>
          <w:jc w:val="center"/>
        </w:trPr>
        <w:tc>
          <w:tcPr>
            <w:tcW w:w="1621" w:type="dxa"/>
            <w:tcBorders>
              <w:top w:val="single" w:color="auto" w:sz="4" w:space="0"/>
              <w:left w:val="single" w:color="auto" w:sz="4" w:space="0"/>
              <w:bottom w:val="single" w:color="auto" w:sz="4" w:space="0"/>
              <w:right w:val="single" w:color="auto" w:sz="4" w:space="0"/>
            </w:tcBorders>
            <w:shd w:val="clear" w:color="auto" w:fill="auto"/>
            <w:vAlign w:val="center"/>
          </w:tcPr>
          <w:p w14:paraId="1559A3E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效益指标</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14:paraId="1F7893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社会效益指标</w:t>
            </w:r>
          </w:p>
        </w:tc>
        <w:tc>
          <w:tcPr>
            <w:tcW w:w="2646" w:type="dxa"/>
            <w:tcBorders>
              <w:top w:val="single" w:color="auto" w:sz="4" w:space="0"/>
              <w:left w:val="single" w:color="auto" w:sz="4" w:space="0"/>
              <w:bottom w:val="single" w:color="auto" w:sz="4" w:space="0"/>
              <w:right w:val="single" w:color="auto" w:sz="4" w:space="0"/>
            </w:tcBorders>
            <w:shd w:val="clear" w:color="auto" w:fill="auto"/>
            <w:vAlign w:val="center"/>
          </w:tcPr>
          <w:p w14:paraId="23E191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减少交通事故</w:t>
            </w:r>
          </w:p>
        </w:tc>
        <w:tc>
          <w:tcPr>
            <w:tcW w:w="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02ED5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定性</w:t>
            </w:r>
          </w:p>
        </w:tc>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14:paraId="7DBA97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有效减少</w:t>
            </w:r>
          </w:p>
        </w:tc>
        <w:tc>
          <w:tcPr>
            <w:tcW w:w="1229" w:type="dxa"/>
            <w:tcBorders>
              <w:top w:val="single" w:color="auto" w:sz="4" w:space="0"/>
              <w:left w:val="single" w:color="auto" w:sz="4" w:space="0"/>
              <w:bottom w:val="single" w:color="auto" w:sz="4" w:space="0"/>
              <w:right w:val="single" w:color="auto" w:sz="4" w:space="0"/>
            </w:tcBorders>
            <w:shd w:val="clear" w:color="auto" w:fill="auto"/>
            <w:vAlign w:val="center"/>
          </w:tcPr>
          <w:p w14:paraId="5CA087F0">
            <w:pPr>
              <w:jc w:val="center"/>
              <w:rPr>
                <w:rFonts w:hint="eastAsia" w:ascii="宋体" w:hAnsi="宋体" w:eastAsia="宋体" w:cs="宋体"/>
                <w:i w:val="0"/>
                <w:iCs w:val="0"/>
                <w:color w:val="000000"/>
                <w:sz w:val="22"/>
                <w:szCs w:val="22"/>
                <w:u w:val="none"/>
              </w:rPr>
            </w:pPr>
          </w:p>
        </w:tc>
        <w:tc>
          <w:tcPr>
            <w:tcW w:w="3566" w:type="dxa"/>
            <w:tcBorders>
              <w:top w:val="single" w:color="auto" w:sz="4" w:space="0"/>
              <w:left w:val="single" w:color="auto" w:sz="4" w:space="0"/>
              <w:bottom w:val="single" w:color="auto" w:sz="4" w:space="0"/>
              <w:right w:val="single" w:color="auto" w:sz="4" w:space="0"/>
            </w:tcBorders>
            <w:shd w:val="clear" w:color="auto" w:fill="auto"/>
            <w:vAlign w:val="center"/>
          </w:tcPr>
          <w:p w14:paraId="6685AAB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反映项目实施后减少交通事故情况</w:t>
            </w:r>
          </w:p>
        </w:tc>
        <w:tc>
          <w:tcPr>
            <w:tcW w:w="3012" w:type="dxa"/>
            <w:tcBorders>
              <w:top w:val="single" w:color="auto" w:sz="4" w:space="0"/>
              <w:left w:val="single" w:color="auto" w:sz="4" w:space="0"/>
              <w:bottom w:val="single" w:color="auto" w:sz="4" w:space="0"/>
              <w:right w:val="single" w:color="auto" w:sz="4" w:space="0"/>
            </w:tcBorders>
            <w:shd w:val="clear" w:color="auto" w:fill="auto"/>
            <w:vAlign w:val="center"/>
          </w:tcPr>
          <w:p w14:paraId="70EAF1B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评分标准：2025年事故数≤2024年事故数，得满分，否则不得分。</w:t>
            </w:r>
          </w:p>
        </w:tc>
      </w:tr>
      <w:tr w14:paraId="473C2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4" w:hRule="atLeast"/>
          <w:jc w:val="center"/>
        </w:trPr>
        <w:tc>
          <w:tcPr>
            <w:tcW w:w="1621" w:type="dxa"/>
            <w:tcBorders>
              <w:top w:val="single" w:color="auto" w:sz="4" w:space="0"/>
              <w:left w:val="single" w:color="auto" w:sz="4" w:space="0"/>
              <w:bottom w:val="single" w:color="auto" w:sz="4" w:space="0"/>
              <w:right w:val="single" w:color="auto" w:sz="4" w:space="0"/>
            </w:tcBorders>
            <w:shd w:val="clear" w:color="auto" w:fill="auto"/>
            <w:vAlign w:val="center"/>
          </w:tcPr>
          <w:p w14:paraId="1D66A9F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满意度指标</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14:paraId="7F80D7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服务对象满意度指标</w:t>
            </w:r>
          </w:p>
        </w:tc>
        <w:tc>
          <w:tcPr>
            <w:tcW w:w="2646" w:type="dxa"/>
            <w:tcBorders>
              <w:top w:val="single" w:color="auto" w:sz="4" w:space="0"/>
              <w:left w:val="single" w:color="auto" w:sz="4" w:space="0"/>
              <w:bottom w:val="single" w:color="auto" w:sz="4" w:space="0"/>
              <w:right w:val="single" w:color="auto" w:sz="4" w:space="0"/>
            </w:tcBorders>
            <w:shd w:val="clear" w:color="auto" w:fill="auto"/>
            <w:vAlign w:val="center"/>
          </w:tcPr>
          <w:p w14:paraId="65C96B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群众满意度</w:t>
            </w:r>
          </w:p>
        </w:tc>
        <w:tc>
          <w:tcPr>
            <w:tcW w:w="806"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B9522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98" w:type="dxa"/>
            <w:tcBorders>
              <w:top w:val="single" w:color="auto" w:sz="4" w:space="0"/>
              <w:left w:val="single" w:color="auto" w:sz="4" w:space="0"/>
              <w:bottom w:val="single" w:color="auto" w:sz="4" w:space="0"/>
              <w:right w:val="single" w:color="auto" w:sz="4" w:space="0"/>
            </w:tcBorders>
            <w:shd w:val="clear" w:color="auto" w:fill="FFFFFF"/>
            <w:vAlign w:val="center"/>
          </w:tcPr>
          <w:p w14:paraId="5DFD33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1229" w:type="dxa"/>
            <w:tcBorders>
              <w:top w:val="single" w:color="auto" w:sz="4" w:space="0"/>
              <w:left w:val="single" w:color="auto" w:sz="4" w:space="0"/>
              <w:bottom w:val="single" w:color="auto" w:sz="4" w:space="0"/>
              <w:right w:val="single" w:color="auto" w:sz="4" w:space="0"/>
            </w:tcBorders>
            <w:shd w:val="clear" w:color="auto" w:fill="FFFFFF"/>
            <w:vAlign w:val="center"/>
          </w:tcPr>
          <w:p w14:paraId="77098E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3566" w:type="dxa"/>
            <w:tcBorders>
              <w:top w:val="single" w:color="auto" w:sz="4" w:space="0"/>
              <w:left w:val="single" w:color="auto" w:sz="4" w:space="0"/>
              <w:bottom w:val="single" w:color="auto" w:sz="4" w:space="0"/>
              <w:right w:val="single" w:color="auto" w:sz="4" w:space="0"/>
            </w:tcBorders>
            <w:shd w:val="clear" w:color="auto" w:fill="FFFFFF"/>
            <w:vAlign w:val="center"/>
          </w:tcPr>
          <w:p w14:paraId="604AA07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反映项目实施后，群众对本项目的满意度情况</w:t>
            </w:r>
          </w:p>
        </w:tc>
        <w:tc>
          <w:tcPr>
            <w:tcW w:w="3012" w:type="dxa"/>
            <w:tcBorders>
              <w:top w:val="single" w:color="auto" w:sz="4" w:space="0"/>
              <w:left w:val="single" w:color="auto" w:sz="4" w:space="0"/>
              <w:bottom w:val="single" w:color="auto" w:sz="4" w:space="0"/>
              <w:right w:val="single" w:color="auto" w:sz="4" w:space="0"/>
            </w:tcBorders>
            <w:shd w:val="clear" w:color="auto" w:fill="FFFFFF"/>
            <w:vAlign w:val="center"/>
          </w:tcPr>
          <w:p w14:paraId="4B42893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评分标准：群众满意度≥90%，得满分，低于60%不得分。其他满意度得分=满意度*分值</w:t>
            </w:r>
          </w:p>
        </w:tc>
      </w:tr>
      <w:tr w14:paraId="4E205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jc w:val="center"/>
        </w:trPr>
        <w:tc>
          <w:tcPr>
            <w:tcW w:w="1621" w:type="dxa"/>
            <w:tcBorders>
              <w:top w:val="single" w:color="auto" w:sz="4" w:space="0"/>
              <w:left w:val="single" w:color="auto" w:sz="4" w:space="0"/>
              <w:bottom w:val="single" w:color="auto" w:sz="4" w:space="0"/>
              <w:right w:val="single" w:color="auto" w:sz="4" w:space="0"/>
            </w:tcBorders>
            <w:shd w:val="clear" w:color="auto" w:fill="auto"/>
            <w:vAlign w:val="center"/>
          </w:tcPr>
          <w:p w14:paraId="60CC682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联系人及电话</w:t>
            </w:r>
          </w:p>
        </w:tc>
        <w:tc>
          <w:tcPr>
            <w:tcW w:w="13393" w:type="dxa"/>
            <w:gridSpan w:val="8"/>
            <w:tcBorders>
              <w:top w:val="single" w:color="auto" w:sz="4" w:space="0"/>
              <w:left w:val="single" w:color="auto" w:sz="4" w:space="0"/>
              <w:bottom w:val="single" w:color="auto" w:sz="4" w:space="0"/>
              <w:right w:val="single" w:color="auto" w:sz="4" w:space="0"/>
            </w:tcBorders>
            <w:shd w:val="clear" w:color="auto" w:fill="auto"/>
            <w:vAlign w:val="center"/>
          </w:tcPr>
          <w:p w14:paraId="164DF6D2">
            <w:pPr>
              <w:jc w:val="center"/>
              <w:rPr>
                <w:rFonts w:hint="eastAsia" w:ascii="宋体" w:hAnsi="宋体" w:eastAsia="宋体" w:cs="宋体"/>
                <w:i w:val="0"/>
                <w:iCs w:val="0"/>
                <w:color w:val="000000"/>
                <w:sz w:val="20"/>
                <w:szCs w:val="20"/>
                <w:u w:val="none"/>
              </w:rPr>
            </w:pPr>
          </w:p>
        </w:tc>
      </w:tr>
      <w:tr w14:paraId="106F2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8" w:hRule="atLeast"/>
          <w:jc w:val="center"/>
        </w:trPr>
        <w:tc>
          <w:tcPr>
            <w:tcW w:w="15014" w:type="dxa"/>
            <w:gridSpan w:val="9"/>
            <w:tcBorders>
              <w:top w:val="single" w:color="auto" w:sz="4" w:space="0"/>
              <w:left w:val="nil"/>
              <w:bottom w:val="nil"/>
              <w:right w:val="nil"/>
            </w:tcBorders>
            <w:shd w:val="clear" w:color="auto" w:fill="auto"/>
            <w:vAlign w:val="center"/>
          </w:tcPr>
          <w:p w14:paraId="703E8694">
            <w:pPr>
              <w:keepNext w:val="0"/>
              <w:keepLines w:val="0"/>
              <w:widowControl/>
              <w:suppressLineNumbers w:val="0"/>
              <w:jc w:val="left"/>
              <w:textAlignment w:val="center"/>
              <w:rPr>
                <w:rFonts w:hint="eastAsia" w:ascii="宋体" w:hAnsi="宋体" w:eastAsia="宋体" w:cs="宋体"/>
                <w:b/>
                <w:bCs/>
                <w:i w:val="0"/>
                <w:iCs w:val="0"/>
                <w:color w:val="FF0000"/>
                <w:sz w:val="18"/>
                <w:szCs w:val="18"/>
                <w:u w:val="none"/>
              </w:rPr>
            </w:pPr>
          </w:p>
        </w:tc>
      </w:tr>
    </w:tbl>
    <w:p w14:paraId="43FF227E">
      <w:pPr>
        <w:rPr>
          <w:rFonts w:hint="eastAsia"/>
        </w:rPr>
      </w:pPr>
      <w:r>
        <w:rPr>
          <w:rFonts w:hint="eastAsia"/>
        </w:rPr>
        <w:br w:type="page"/>
      </w:r>
    </w:p>
    <w:p w14:paraId="2AADA115">
      <w:pPr>
        <w:keepNext w:val="0"/>
        <w:keepLines w:val="0"/>
        <w:pageBreakBefore w:val="0"/>
        <w:widowControl w:val="0"/>
        <w:kinsoku/>
        <w:wordWrap/>
        <w:overflowPunct/>
        <w:topLinePunct w:val="0"/>
        <w:autoSpaceDE/>
        <w:autoSpaceDN/>
        <w:bidi w:val="0"/>
        <w:adjustRightInd/>
        <w:spacing w:line="550" w:lineRule="exact"/>
        <w:jc w:val="center"/>
        <w:textAlignment w:val="auto"/>
        <w:rPr>
          <w:rFonts w:hint="eastAsia" w:ascii="微软雅黑" w:hAnsi="微软雅黑" w:eastAsia="微软雅黑" w:cs="微软雅黑"/>
          <w:bCs/>
          <w:sz w:val="44"/>
          <w:szCs w:val="44"/>
          <w:lang w:eastAsia="zh-CN"/>
        </w:rPr>
      </w:pPr>
      <w:r>
        <w:rPr>
          <w:rFonts w:hint="eastAsia" w:ascii="微软雅黑" w:hAnsi="微软雅黑" w:eastAsia="微软雅黑" w:cs="微软雅黑"/>
          <w:bCs/>
          <w:sz w:val="44"/>
          <w:szCs w:val="44"/>
          <w:lang w:eastAsia="zh-CN"/>
        </w:rPr>
        <w:t>项目</w:t>
      </w:r>
      <w:r>
        <w:rPr>
          <w:rFonts w:hint="eastAsia" w:ascii="微软雅黑" w:hAnsi="微软雅黑" w:eastAsia="微软雅黑" w:cs="微软雅黑"/>
          <w:bCs/>
          <w:sz w:val="44"/>
          <w:szCs w:val="44"/>
          <w:lang w:val="en-US" w:eastAsia="zh-CN"/>
        </w:rPr>
        <w:t>5：</w:t>
      </w:r>
      <w:r>
        <w:rPr>
          <w:rFonts w:hint="eastAsia" w:ascii="微软雅黑" w:hAnsi="微软雅黑" w:eastAsia="微软雅黑" w:cs="微软雅黑"/>
          <w:bCs/>
          <w:sz w:val="44"/>
          <w:szCs w:val="44"/>
          <w:lang w:eastAsia="zh-CN"/>
        </w:rPr>
        <w:t>百马大道与天玑路交叉口交安设施采购项目</w:t>
      </w:r>
    </w:p>
    <w:p w14:paraId="7A303DEC">
      <w:pPr>
        <w:spacing w:line="560" w:lineRule="exact"/>
        <w:jc w:val="center"/>
        <w:rPr>
          <w:rFonts w:ascii="楷体_GB2312" w:hAnsi="楷体_GB2312" w:eastAsia="楷体_GB2312" w:cs="楷体_GB2312"/>
          <w:sz w:val="32"/>
          <w:szCs w:val="32"/>
        </w:rPr>
      </w:pPr>
      <w:r>
        <w:rPr>
          <w:rFonts w:hint="eastAsia" w:ascii="楷体_GB2312" w:hAnsi="楷体_GB2312" w:eastAsia="楷体_GB2312" w:cs="楷体_GB2312"/>
          <w:sz w:val="32"/>
          <w:szCs w:val="32"/>
        </w:rPr>
        <w:t>（</w:t>
      </w:r>
      <w:r>
        <w:rPr>
          <w:rFonts w:hint="eastAsia" w:ascii="楷体_GB2312" w:eastAsia="楷体_GB2312" w:cs="楷体_GB2312"/>
          <w:sz w:val="32"/>
          <w:szCs w:val="32"/>
        </w:rPr>
        <w:t>贵州贵安新区公安局交通警察支队</w:t>
      </w:r>
      <w:r>
        <w:rPr>
          <w:rFonts w:hint="eastAsia" w:ascii="楷体_GB2312" w:hAnsi="楷体_GB2312" w:eastAsia="楷体_GB2312" w:cs="楷体_GB2312"/>
          <w:sz w:val="32"/>
          <w:szCs w:val="32"/>
        </w:rPr>
        <w:t>）</w:t>
      </w:r>
    </w:p>
    <w:p w14:paraId="03D5D227">
      <w:pPr>
        <w:spacing w:line="560" w:lineRule="exact"/>
        <w:ind w:firstLine="644" w:firstLineChars="200"/>
        <w:rPr>
          <w:rFonts w:ascii="华文仿宋" w:hAnsi="华文仿宋" w:eastAsia="华文仿宋" w:cs="Times New Roman"/>
          <w:sz w:val="32"/>
          <w:szCs w:val="32"/>
        </w:rPr>
      </w:pPr>
    </w:p>
    <w:p w14:paraId="2B366021">
      <w:pPr>
        <w:numPr>
          <w:ilvl w:val="0"/>
          <w:numId w:val="0"/>
        </w:numPr>
        <w:spacing w:line="560" w:lineRule="exact"/>
        <w:ind w:firstLine="644" w:firstLineChars="200"/>
        <w:rPr>
          <w:rFonts w:ascii="黑体" w:hAnsi="黑体" w:eastAsia="黑体" w:cs="Times New Roman"/>
          <w:sz w:val="32"/>
          <w:szCs w:val="32"/>
        </w:rPr>
      </w:pPr>
      <w:r>
        <w:rPr>
          <w:rFonts w:hint="eastAsia" w:ascii="黑体" w:hAnsi="黑体" w:eastAsia="黑体" w:cs="Times New Roman"/>
          <w:sz w:val="32"/>
          <w:szCs w:val="32"/>
          <w:lang w:eastAsia="zh-CN"/>
        </w:rPr>
        <w:t>一、</w:t>
      </w:r>
      <w:r>
        <w:rPr>
          <w:rFonts w:hint="eastAsia" w:ascii="黑体" w:hAnsi="黑体" w:eastAsia="黑体" w:cs="Times New Roman"/>
          <w:sz w:val="32"/>
          <w:szCs w:val="32"/>
        </w:rPr>
        <w:t>项目概述</w:t>
      </w:r>
    </w:p>
    <w:p w14:paraId="31A49642">
      <w:pPr>
        <w:widowControl w:val="0"/>
        <w:tabs>
          <w:tab w:val="center" w:pos="4153"/>
          <w:tab w:val="right" w:pos="8306"/>
        </w:tabs>
        <w:snapToGrid w:val="0"/>
        <w:spacing w:line="560" w:lineRule="exact"/>
        <w:ind w:firstLine="644" w:firstLineChars="200"/>
        <w:jc w:val="both"/>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为深入贯彻习近平总书记关于安全生产的重要论述和重要指示批示精神，落实党中央、国务院关于加强道路交通安全工作的系列重大决策部署，推进省安委会关于认真贯彻落实国务院安委会安全生产“十五条”措施的意见，按照《贵州省学生交通安全提升行动计划实施方案（2023-2026）》（黔公交〔2023〕11号）要求，开展百马大道与天玑路交叉口道路交通安全设施严重缺失，贵州电子科技职业技术学院高校师生及周边市民出行存在较大交通安全隐患的整改，整治百马大道与天玑路交叉口道路交通安全问题，经新区领导批示，由新区公安局（交警支队）牵头，会同多部门开展相关工作，对接产权单位与亚行项目，明确各方建设责任，特制定《百马大道与天玑路交叉口交安设施采购项目实施方案》，预估经费49.67万元纳入2024年新区财政预算安排。</w:t>
      </w:r>
    </w:p>
    <w:p w14:paraId="00B2C496">
      <w:pPr>
        <w:numPr>
          <w:ilvl w:val="0"/>
          <w:numId w:val="0"/>
        </w:numPr>
        <w:spacing w:line="560" w:lineRule="exact"/>
        <w:ind w:firstLine="644" w:firstLineChars="200"/>
        <w:rPr>
          <w:rFonts w:hint="eastAsia" w:ascii="黑体" w:hAnsi="黑体" w:eastAsia="黑体" w:cs="Times New Roman"/>
          <w:sz w:val="32"/>
          <w:szCs w:val="32"/>
        </w:rPr>
      </w:pPr>
      <w:r>
        <w:rPr>
          <w:rFonts w:hint="eastAsia" w:ascii="黑体" w:hAnsi="黑体" w:eastAsia="黑体" w:cs="Times New Roman"/>
          <w:sz w:val="32"/>
          <w:szCs w:val="32"/>
          <w:lang w:eastAsia="zh-CN"/>
        </w:rPr>
        <w:t>二、</w:t>
      </w:r>
      <w:r>
        <w:rPr>
          <w:rFonts w:hint="eastAsia" w:ascii="黑体" w:hAnsi="黑体" w:eastAsia="黑体" w:cs="Times New Roman"/>
          <w:sz w:val="32"/>
          <w:szCs w:val="32"/>
        </w:rPr>
        <w:t>立项依据</w:t>
      </w:r>
    </w:p>
    <w:p w14:paraId="40FE2E7E">
      <w:pPr>
        <w:numPr>
          <w:ilvl w:val="0"/>
          <w:numId w:val="0"/>
        </w:numPr>
        <w:spacing w:line="560" w:lineRule="exact"/>
        <w:ind w:firstLine="644" w:firstLineChars="200"/>
        <w:rPr>
          <w:rFonts w:ascii="仿宋_GB2312" w:hAnsi="仿宋_GB2312" w:eastAsia="仿宋_GB2312" w:cs="仿宋_GB2312"/>
          <w:b/>
          <w:bCs/>
          <w:kern w:val="44"/>
          <w:sz w:val="32"/>
          <w:szCs w:val="32"/>
          <w:lang w:val="en-US" w:eastAsia="zh-CN" w:bidi="ar-SA"/>
        </w:rPr>
      </w:pPr>
      <w:r>
        <w:rPr>
          <w:rFonts w:hint="eastAsia" w:ascii="Times New Roman" w:hAnsi="Times New Roman" w:eastAsia="仿宋_GB2312" w:cs="Times New Roman"/>
          <w:b w:val="0"/>
          <w:bCs w:val="0"/>
          <w:kern w:val="2"/>
          <w:sz w:val="32"/>
          <w:szCs w:val="32"/>
          <w:lang w:val="en-US" w:eastAsia="zh-CN" w:bidi="ar-SA"/>
        </w:rPr>
        <w:t>按照“十四五”贵州省道路交通安全规划，公安部印发的《2023年道路交通事故预防“减量控大”工作方案》《贵州省学生交通安全提升行动计划实施方案（2023-2026）》（黔公交〔2023〕11号）</w:t>
      </w:r>
      <w:r>
        <w:rPr>
          <w:rFonts w:hint="default" w:ascii="Times New Roman" w:hAnsi="Times New Roman" w:eastAsia="仿宋_GB2312" w:cs="Times New Roman"/>
          <w:b w:val="0"/>
          <w:bCs w:val="0"/>
          <w:kern w:val="2"/>
          <w:sz w:val="32"/>
          <w:szCs w:val="32"/>
          <w:lang w:val="en-US" w:eastAsia="zh-CN" w:bidi="ar-SA"/>
        </w:rPr>
        <w:t>和</w:t>
      </w:r>
      <w:r>
        <w:rPr>
          <w:rFonts w:hint="eastAsia" w:ascii="Times New Roman" w:hAnsi="Times New Roman" w:eastAsia="仿宋_GB2312" w:cs="Times New Roman"/>
          <w:b w:val="0"/>
          <w:bCs w:val="0"/>
          <w:kern w:val="2"/>
          <w:sz w:val="32"/>
          <w:szCs w:val="32"/>
          <w:lang w:val="en-US" w:eastAsia="zh-CN" w:bidi="ar-SA"/>
        </w:rPr>
        <w:t>贵阳贵安道路交通安全管理规划（2023-2027）要求，依据《道路交通信息监测记录设备设置规范》（GAT1047-2013）、《道路交通信号灯设置与安装规范》（GB14886-2016）和《道路交通标志和标线》（GB 5768）的标准，加强和完善校园周边道路交安设施及学生出行安全保护工作，全力防范涉及学生道路交通事故发生。</w:t>
      </w:r>
    </w:p>
    <w:p w14:paraId="39098B78">
      <w:pPr>
        <w:spacing w:line="560" w:lineRule="exact"/>
        <w:ind w:firstLine="644" w:firstLineChars="200"/>
        <w:rPr>
          <w:rFonts w:ascii="黑体" w:hAnsi="黑体" w:eastAsia="黑体" w:cs="Times New Roman"/>
          <w:sz w:val="32"/>
          <w:szCs w:val="32"/>
        </w:rPr>
      </w:pPr>
      <w:r>
        <w:rPr>
          <w:rFonts w:hint="eastAsia" w:ascii="黑体" w:hAnsi="黑体" w:eastAsia="黑体" w:cs="Times New Roman"/>
          <w:sz w:val="32"/>
          <w:szCs w:val="32"/>
        </w:rPr>
        <w:t>三、实施主体</w:t>
      </w:r>
    </w:p>
    <w:p w14:paraId="0673AEA4">
      <w:pPr>
        <w:widowControl w:val="0"/>
        <w:tabs>
          <w:tab w:val="center" w:pos="4153"/>
          <w:tab w:val="right" w:pos="8306"/>
        </w:tabs>
        <w:snapToGrid w:val="0"/>
        <w:spacing w:line="560" w:lineRule="exact"/>
        <w:ind w:firstLine="644" w:firstLineChars="200"/>
        <w:jc w:val="both"/>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贵州贵安新区公安局交通警察支队。</w:t>
      </w:r>
    </w:p>
    <w:p w14:paraId="2F0909B8">
      <w:pPr>
        <w:spacing w:line="560" w:lineRule="exact"/>
        <w:ind w:firstLine="644" w:firstLineChars="200"/>
        <w:rPr>
          <w:rFonts w:ascii="黑体" w:hAnsi="黑体" w:eastAsia="黑体" w:cs="Times New Roman"/>
          <w:sz w:val="32"/>
          <w:szCs w:val="32"/>
        </w:rPr>
      </w:pPr>
      <w:r>
        <w:rPr>
          <w:rFonts w:hint="eastAsia" w:ascii="黑体" w:hAnsi="黑体" w:eastAsia="黑体" w:cs="Times New Roman"/>
          <w:sz w:val="32"/>
          <w:szCs w:val="32"/>
        </w:rPr>
        <w:t>四、实施方案</w:t>
      </w:r>
    </w:p>
    <w:p w14:paraId="65549B24">
      <w:pPr>
        <w:spacing w:line="560" w:lineRule="exact"/>
        <w:ind w:firstLine="644" w:firstLineChars="200"/>
        <w:rPr>
          <w:rFonts w:hint="eastAsia" w:ascii="楷体_GB2312" w:eastAsia="楷体_GB2312" w:cs="Times New Roman"/>
          <w:sz w:val="32"/>
          <w:szCs w:val="32"/>
        </w:rPr>
      </w:pPr>
      <w:r>
        <w:rPr>
          <w:rFonts w:hint="eastAsia" w:ascii="楷体_GB2312" w:eastAsia="楷体_GB2312" w:cs="Times New Roman"/>
          <w:sz w:val="32"/>
          <w:szCs w:val="32"/>
        </w:rPr>
        <w:t>（一）项目可行性</w:t>
      </w:r>
    </w:p>
    <w:p w14:paraId="1403537D">
      <w:pPr>
        <w:widowControl w:val="0"/>
        <w:tabs>
          <w:tab w:val="center" w:pos="4153"/>
          <w:tab w:val="right" w:pos="8306"/>
        </w:tabs>
        <w:snapToGrid w:val="0"/>
        <w:spacing w:line="560" w:lineRule="exact"/>
        <w:ind w:firstLine="644" w:firstLineChars="200"/>
        <w:jc w:val="both"/>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百马大道与天玑路交叉口交安设施采购项目在政策契合国家及地方加强道路交通安全管理的要求，由于贵州电子科技职业技术学院高校师生及周边市民出行民众出行安全需求强烈，对交通环境改善关注度高，期望政府和相关部门采取有效措施治理隐患，同时随着新区交通流量的持续增长，该路口道路交通安全隐患日益凸显，交通事故频发对人民生命财产安全造成严重威胁。为改善交通状况，降低事故发生率，开展交通安全隐患治理项目迫在眉睫。通过规范完善该路口的交安设施，减少事故带来的人员伤亡赔偿、财产损失、交通拥堵成本等，长期经济效益显著。例如，事故减少降低医疗、保险等社会成本支出，提升城市形象和投资环境，促进经济发展间接带来收益。</w:t>
      </w:r>
    </w:p>
    <w:p w14:paraId="555BE5D7">
      <w:pPr>
        <w:numPr>
          <w:ilvl w:val="0"/>
          <w:numId w:val="3"/>
        </w:numPr>
        <w:spacing w:line="560" w:lineRule="exact"/>
        <w:ind w:left="0" w:firstLine="644"/>
        <w:rPr>
          <w:rFonts w:ascii="楷体_GB2312" w:eastAsia="楷体_GB2312" w:cs="Times New Roman"/>
          <w:sz w:val="32"/>
          <w:szCs w:val="32"/>
        </w:rPr>
      </w:pPr>
      <w:r>
        <w:rPr>
          <w:rFonts w:ascii="楷体_GB2312" w:eastAsia="楷体_GB2312" w:cs="Times New Roman"/>
          <w:sz w:val="32"/>
          <w:szCs w:val="32"/>
        </w:rPr>
        <w:t>总体思路</w:t>
      </w:r>
    </w:p>
    <w:p w14:paraId="3F97C4D5">
      <w:pPr>
        <w:widowControl w:val="0"/>
        <w:tabs>
          <w:tab w:val="center" w:pos="4153"/>
          <w:tab w:val="right" w:pos="8306"/>
        </w:tabs>
        <w:snapToGrid w:val="0"/>
        <w:spacing w:line="560" w:lineRule="exact"/>
        <w:ind w:firstLine="644" w:firstLineChars="200"/>
        <w:jc w:val="both"/>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按照党中央、国务院和公安部、省委、省政府和省公安厅关于加强校园周边及学生安全保护工作的决策部署，全力防范涉及学生道路交通事故，紧紧围绕道路交通事故预防“减量控大”工作要求，以保障人民群众生命财产安全为中心，通过完善道路指示标志、道路标线、隔离护栏和人行过街岛等交安设施，提升该路段交通安全水平，切实消除校园周边道路交通安全隐患，净化道路交通秩序，提升人民群众的安全感满意度。</w:t>
      </w:r>
    </w:p>
    <w:p w14:paraId="7847992A">
      <w:pPr>
        <w:numPr>
          <w:ilvl w:val="0"/>
          <w:numId w:val="3"/>
        </w:numPr>
        <w:spacing w:line="560" w:lineRule="exact"/>
        <w:ind w:left="0" w:firstLine="644"/>
        <w:rPr>
          <w:rFonts w:hint="eastAsia" w:ascii="楷体_GB2312" w:eastAsia="楷体_GB2312" w:cs="Times New Roman"/>
          <w:sz w:val="32"/>
          <w:szCs w:val="32"/>
        </w:rPr>
      </w:pPr>
      <w:r>
        <w:rPr>
          <w:rFonts w:ascii="楷体_GB2312" w:eastAsia="楷体_GB2312" w:cs="Times New Roman"/>
          <w:sz w:val="32"/>
          <w:szCs w:val="32"/>
        </w:rPr>
        <w:t>实施方式</w:t>
      </w:r>
    </w:p>
    <w:p w14:paraId="7ED3CB45">
      <w:pPr>
        <w:widowControl w:val="0"/>
        <w:tabs>
          <w:tab w:val="center" w:pos="4153"/>
          <w:tab w:val="right" w:pos="8306"/>
        </w:tabs>
        <w:snapToGrid w:val="0"/>
        <w:spacing w:line="560" w:lineRule="exact"/>
        <w:ind w:firstLine="644" w:firstLineChars="200"/>
        <w:jc w:val="both"/>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成立贵安新区公安局交通警察支队百马大道与天玑路交叉口交安设施采购项目工作领导小组，按照政府采购管理办法，保证专项资金全部用于百马大道与天玑路交叉口道路交通安全设施采购使用。由公安局交警支队牵头组织各部门协作，一是对接亚洲开发银行贷款贵安新区新型城镇化智慧交通体系发展项目前端感知体系建设项目，明确相关建设内容，避免重复建设；二是针对百马大道与天玑路交叉口道路交通安全隐患，建设完善道路指示标志、道路标线、隔离护栏和人行过街岛等交安设施，科学合理组织交通，有效对交通参与者进行指引，净化道路秩序。</w:t>
      </w:r>
    </w:p>
    <w:p w14:paraId="4B5F93AD">
      <w:pPr>
        <w:numPr>
          <w:ilvl w:val="0"/>
          <w:numId w:val="3"/>
        </w:numPr>
        <w:spacing w:line="560" w:lineRule="exact"/>
        <w:ind w:left="0" w:firstLine="644"/>
        <w:rPr>
          <w:rFonts w:ascii="楷体_GB2312" w:eastAsia="楷体_GB2312" w:cs="Times New Roman"/>
          <w:sz w:val="32"/>
          <w:szCs w:val="32"/>
        </w:rPr>
      </w:pPr>
      <w:r>
        <w:rPr>
          <w:rFonts w:ascii="楷体_GB2312" w:eastAsia="楷体_GB2312" w:cs="Times New Roman"/>
          <w:sz w:val="32"/>
          <w:szCs w:val="32"/>
        </w:rPr>
        <w:t>进度安排及阶段目标</w:t>
      </w:r>
    </w:p>
    <w:p w14:paraId="0FCCE4E2">
      <w:pPr>
        <w:widowControl w:val="0"/>
        <w:tabs>
          <w:tab w:val="center" w:pos="4153"/>
          <w:tab w:val="right" w:pos="8306"/>
        </w:tabs>
        <w:snapToGrid w:val="0"/>
        <w:spacing w:line="560" w:lineRule="exact"/>
        <w:ind w:firstLine="644" w:firstLineChars="200"/>
        <w:jc w:val="both"/>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1.方案制定阶段（2024年11月）：按照新区领导批示要求，新区公安局（交警支队）牵头，会同多部门开展相关工作，包括对接产权单位与亚行项目，明确各方建设责任，制定《百马大道与天玑路交叉口交安设施采购项目》实施方案。</w:t>
      </w:r>
    </w:p>
    <w:p w14:paraId="64B34BC6">
      <w:pPr>
        <w:widowControl w:val="0"/>
        <w:tabs>
          <w:tab w:val="center" w:pos="4153"/>
          <w:tab w:val="right" w:pos="8306"/>
        </w:tabs>
        <w:snapToGrid w:val="0"/>
        <w:spacing w:line="560" w:lineRule="exact"/>
        <w:ind w:firstLine="644" w:firstLineChars="200"/>
        <w:jc w:val="both"/>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2.推进实施阶段（2025年2月—5月）：开展项目采购工作，完善道路指示标志、道路标线、隔离护栏和人行过街岛等交安设施</w:t>
      </w:r>
    </w:p>
    <w:p w14:paraId="7E7D5C31">
      <w:pPr>
        <w:widowControl w:val="0"/>
        <w:tabs>
          <w:tab w:val="center" w:pos="4153"/>
          <w:tab w:val="right" w:pos="8306"/>
        </w:tabs>
        <w:snapToGrid w:val="0"/>
        <w:spacing w:line="560" w:lineRule="exact"/>
        <w:ind w:firstLine="644" w:firstLineChars="200"/>
        <w:jc w:val="both"/>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3.验收阶段（2025年6月—7月）：组织项目验收小组，针对本期建设项目进行整体验收。</w:t>
      </w:r>
    </w:p>
    <w:p w14:paraId="42112212">
      <w:pPr>
        <w:widowControl w:val="0"/>
        <w:tabs>
          <w:tab w:val="center" w:pos="4153"/>
          <w:tab w:val="right" w:pos="8306"/>
        </w:tabs>
        <w:snapToGrid w:val="0"/>
        <w:spacing w:line="560" w:lineRule="exact"/>
        <w:ind w:firstLine="644" w:firstLineChars="200"/>
        <w:jc w:val="both"/>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4.运行及维护阶段（2025年8月）：经过验收并针对存在的不足进行优化完善后，进入维护期，巩固建设成果发挥成效。</w:t>
      </w:r>
    </w:p>
    <w:p w14:paraId="0FC69F02">
      <w:pPr>
        <w:numPr>
          <w:ilvl w:val="0"/>
          <w:numId w:val="3"/>
        </w:numPr>
        <w:spacing w:line="560" w:lineRule="exact"/>
        <w:ind w:left="0" w:firstLine="644"/>
        <w:rPr>
          <w:rFonts w:ascii="楷体_GB2312" w:eastAsia="楷体_GB2312" w:cs="Times New Roman"/>
          <w:sz w:val="32"/>
          <w:szCs w:val="32"/>
        </w:rPr>
      </w:pPr>
      <w:r>
        <w:rPr>
          <w:rFonts w:hint="eastAsia" w:ascii="楷体_GB2312" w:eastAsia="楷体_GB2312" w:cs="Times New Roman"/>
          <w:sz w:val="32"/>
          <w:szCs w:val="32"/>
        </w:rPr>
        <w:t>预期成果</w:t>
      </w:r>
    </w:p>
    <w:p w14:paraId="32945510">
      <w:pPr>
        <w:widowControl w:val="0"/>
        <w:tabs>
          <w:tab w:val="center" w:pos="4153"/>
          <w:tab w:val="right" w:pos="8306"/>
        </w:tabs>
        <w:snapToGrid w:val="0"/>
        <w:spacing w:line="560" w:lineRule="exact"/>
        <w:ind w:firstLine="644" w:firstLineChars="200"/>
        <w:jc w:val="both"/>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针对百马大道与天玑路交叉口道路交通安全隐患问题，建设完善道路指示标志28块、道路标线2747平方、人行过街岛2座和道路防撞岛5座等交安设施，科学合理组织交通，有效对交通参与者进行指引，净化道路秩序，确保高校师生及周边市民出行安全。</w:t>
      </w:r>
    </w:p>
    <w:p w14:paraId="39BF7D76">
      <w:pPr>
        <w:numPr>
          <w:ilvl w:val="0"/>
          <w:numId w:val="0"/>
        </w:numPr>
        <w:spacing w:line="560" w:lineRule="exact"/>
        <w:ind w:firstLine="644" w:firstLineChars="200"/>
        <w:rPr>
          <w:rFonts w:ascii="方正仿宋_GBK" w:eastAsia="方正仿宋_GBK" w:cs="方正仿宋_GBK"/>
          <w:color w:val="000000"/>
          <w:sz w:val="32"/>
          <w:szCs w:val="32"/>
        </w:rPr>
      </w:pPr>
      <w:r>
        <w:rPr>
          <w:rFonts w:hint="eastAsia" w:ascii="黑体" w:hAnsi="黑体" w:eastAsia="黑体" w:cs="Times New Roman"/>
          <w:sz w:val="32"/>
          <w:szCs w:val="32"/>
          <w:lang w:eastAsia="zh-CN"/>
        </w:rPr>
        <w:t>五、</w:t>
      </w:r>
      <w:r>
        <w:rPr>
          <w:rFonts w:hint="eastAsia" w:ascii="黑体" w:hAnsi="黑体" w:eastAsia="黑体" w:cs="Times New Roman"/>
          <w:sz w:val="32"/>
          <w:szCs w:val="32"/>
        </w:rPr>
        <w:t>实施周期</w:t>
      </w:r>
    </w:p>
    <w:p w14:paraId="69726403">
      <w:pPr>
        <w:numPr>
          <w:ilvl w:val="0"/>
          <w:numId w:val="0"/>
        </w:numPr>
        <w:spacing w:line="560" w:lineRule="exact"/>
        <w:ind w:firstLine="644" w:firstLineChars="200"/>
        <w:rPr>
          <w:rFonts w:ascii="黑体" w:hAnsi="黑体" w:eastAsia="黑体" w:cs="Times New Roman"/>
          <w:sz w:val="32"/>
          <w:szCs w:val="32"/>
        </w:rPr>
      </w:pPr>
      <w:r>
        <w:rPr>
          <w:rFonts w:hint="eastAsia" w:ascii="仿宋_GB2312" w:eastAsia="仿宋_GB2312" w:cs="仿宋_GB2312"/>
          <w:color w:val="000000"/>
          <w:sz w:val="32"/>
          <w:szCs w:val="32"/>
        </w:rPr>
        <w:t>2</w:t>
      </w:r>
      <w:r>
        <w:rPr>
          <w:rFonts w:hint="eastAsia" w:ascii="Times New Roman" w:hAnsi="Times New Roman" w:eastAsia="仿宋_GB2312" w:cs="Times New Roman"/>
          <w:kern w:val="2"/>
          <w:sz w:val="32"/>
          <w:szCs w:val="32"/>
          <w:lang w:val="en-US" w:eastAsia="zh-CN" w:bidi="ar-SA"/>
        </w:rPr>
        <w:t>024年11月至2025年12月。</w:t>
      </w:r>
    </w:p>
    <w:p w14:paraId="564F6621">
      <w:pPr>
        <w:spacing w:line="560" w:lineRule="exact"/>
        <w:ind w:firstLine="644" w:firstLineChars="200"/>
        <w:rPr>
          <w:rFonts w:ascii="楷体_GB2312" w:eastAsia="楷体_GB2312" w:cs="Times New Roman"/>
          <w:sz w:val="32"/>
          <w:szCs w:val="32"/>
        </w:rPr>
      </w:pPr>
      <w:r>
        <w:rPr>
          <w:rFonts w:hint="eastAsia" w:ascii="黑体" w:hAnsi="黑体" w:eastAsia="黑体" w:cs="Times New Roman"/>
          <w:sz w:val="32"/>
          <w:szCs w:val="32"/>
        </w:rPr>
        <w:t>六、年度预算计划</w:t>
      </w:r>
    </w:p>
    <w:p w14:paraId="05FA85EE">
      <w:pPr>
        <w:widowControl w:val="0"/>
        <w:tabs>
          <w:tab w:val="center" w:pos="4153"/>
          <w:tab w:val="right" w:pos="8306"/>
        </w:tabs>
        <w:snapToGrid w:val="0"/>
        <w:spacing w:line="560" w:lineRule="exact"/>
        <w:ind w:firstLine="644" w:firstLineChars="200"/>
        <w:jc w:val="both"/>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2025年预算：一般公共预算49.67万元。</w:t>
      </w:r>
    </w:p>
    <w:p w14:paraId="1F1A1696">
      <w:pPr>
        <w:spacing w:line="560" w:lineRule="exact"/>
        <w:ind w:firstLine="644" w:firstLineChars="200"/>
        <w:rPr>
          <w:rFonts w:ascii="黑体" w:hAnsi="黑体" w:eastAsia="黑体" w:cs="Times New Roman"/>
          <w:sz w:val="32"/>
          <w:szCs w:val="32"/>
        </w:rPr>
      </w:pPr>
      <w:r>
        <w:rPr>
          <w:rFonts w:hint="eastAsia" w:ascii="黑体" w:hAnsi="黑体" w:eastAsia="黑体" w:cs="Times New Roman"/>
          <w:sz w:val="32"/>
          <w:szCs w:val="32"/>
        </w:rPr>
        <w:t>七、绩效目标和指标</w:t>
      </w:r>
    </w:p>
    <w:p w14:paraId="6B5D93AE">
      <w:pPr>
        <w:widowControl w:val="0"/>
        <w:tabs>
          <w:tab w:val="center" w:pos="4153"/>
          <w:tab w:val="right" w:pos="8306"/>
        </w:tabs>
        <w:snapToGrid w:val="0"/>
        <w:spacing w:line="560" w:lineRule="exact"/>
        <w:ind w:firstLine="644" w:firstLineChars="200"/>
        <w:jc w:val="both"/>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详见下表。</w:t>
      </w:r>
    </w:p>
    <w:p w14:paraId="01A218AF">
      <w:pPr>
        <w:spacing w:line="560" w:lineRule="exact"/>
        <w:ind w:firstLine="644" w:firstLineChars="200"/>
        <w:rPr>
          <w:rFonts w:hint="eastAsia" w:ascii="华文仿宋" w:hAnsi="华文仿宋" w:eastAsia="华文仿宋" w:cs="Times New Roman"/>
          <w:sz w:val="32"/>
          <w:szCs w:val="32"/>
        </w:rPr>
      </w:pPr>
    </w:p>
    <w:p w14:paraId="3CA277A5">
      <w:pPr>
        <w:spacing w:line="560" w:lineRule="exact"/>
        <w:ind w:firstLine="644" w:firstLineChars="200"/>
        <w:rPr>
          <w:rFonts w:hint="eastAsia" w:ascii="华文仿宋" w:hAnsi="华文仿宋" w:eastAsia="华文仿宋" w:cs="Times New Roman"/>
          <w:sz w:val="32"/>
          <w:szCs w:val="32"/>
        </w:rPr>
      </w:pPr>
    </w:p>
    <w:p w14:paraId="262B6A81">
      <w:pPr>
        <w:rPr>
          <w:rFonts w:hint="eastAsia"/>
        </w:rPr>
      </w:pPr>
      <w:r>
        <w:rPr>
          <w:rFonts w:hint="eastAsia"/>
        </w:rPr>
        <w:br w:type="page"/>
      </w:r>
    </w:p>
    <w:tbl>
      <w:tblPr>
        <w:tblStyle w:val="10"/>
        <w:tblW w:w="1501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43"/>
        <w:gridCol w:w="1392"/>
        <w:gridCol w:w="2537"/>
        <w:gridCol w:w="1030"/>
        <w:gridCol w:w="1354"/>
        <w:gridCol w:w="1359"/>
        <w:gridCol w:w="1"/>
        <w:gridCol w:w="2161"/>
        <w:gridCol w:w="3437"/>
      </w:tblGrid>
      <w:tr w14:paraId="12792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blHeader/>
          <w:jc w:val="center"/>
        </w:trPr>
        <w:tc>
          <w:tcPr>
            <w:tcW w:w="15014" w:type="dxa"/>
            <w:gridSpan w:val="9"/>
            <w:tcBorders>
              <w:top w:val="nil"/>
              <w:left w:val="nil"/>
              <w:bottom w:val="nil"/>
              <w:right w:val="nil"/>
            </w:tcBorders>
            <w:shd w:val="clear" w:color="auto" w:fill="auto"/>
            <w:vAlign w:val="center"/>
          </w:tcPr>
          <w:p w14:paraId="049F16AD">
            <w:pPr>
              <w:keepNext w:val="0"/>
              <w:keepLines w:val="0"/>
              <w:widowControl/>
              <w:suppressLineNumbers w:val="0"/>
              <w:jc w:val="center"/>
              <w:textAlignment w:val="center"/>
              <w:rPr>
                <w:rFonts w:hint="eastAsia" w:ascii="宋体" w:hAnsi="宋体" w:eastAsia="宋体" w:cs="宋体"/>
                <w:b/>
                <w:bCs/>
                <w:i w:val="0"/>
                <w:iCs w:val="0"/>
                <w:color w:val="000000"/>
                <w:sz w:val="43"/>
                <w:szCs w:val="43"/>
                <w:u w:val="none"/>
              </w:rPr>
            </w:pPr>
            <w:r>
              <w:rPr>
                <w:rFonts w:hint="eastAsia" w:ascii="宋体" w:hAnsi="宋体" w:eastAsia="宋体" w:cs="宋体"/>
                <w:b/>
                <w:bCs/>
                <w:i w:val="0"/>
                <w:iCs w:val="0"/>
                <w:color w:val="000000"/>
                <w:kern w:val="0"/>
                <w:sz w:val="43"/>
                <w:szCs w:val="43"/>
                <w:u w:val="none"/>
                <w:lang w:val="en-US" w:eastAsia="zh-CN" w:bidi="ar"/>
              </w:rPr>
              <w:t>项目支出绩效目标申报表</w:t>
            </w:r>
          </w:p>
        </w:tc>
      </w:tr>
      <w:tr w14:paraId="3A338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blHeader/>
          <w:jc w:val="center"/>
        </w:trPr>
        <w:tc>
          <w:tcPr>
            <w:tcW w:w="15014" w:type="dxa"/>
            <w:gridSpan w:val="9"/>
            <w:tcBorders>
              <w:top w:val="nil"/>
              <w:left w:val="nil"/>
              <w:bottom w:val="single" w:color="auto" w:sz="4" w:space="0"/>
              <w:right w:val="nil"/>
            </w:tcBorders>
            <w:shd w:val="clear" w:color="auto" w:fill="auto"/>
            <w:vAlign w:val="center"/>
          </w:tcPr>
          <w:p w14:paraId="2E9582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（2025年度）</w:t>
            </w:r>
          </w:p>
        </w:tc>
      </w:tr>
      <w:tr w14:paraId="4147C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tblHeader/>
          <w:jc w:val="center"/>
        </w:trPr>
        <w:tc>
          <w:tcPr>
            <w:tcW w:w="3135"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31974D0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项目名称</w:t>
            </w:r>
          </w:p>
        </w:tc>
        <w:tc>
          <w:tcPr>
            <w:tcW w:w="4921"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65DB80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百马大道与天玑路交叉口交安设施采购项目</w:t>
            </w:r>
          </w:p>
        </w:tc>
        <w:tc>
          <w:tcPr>
            <w:tcW w:w="1359" w:type="dxa"/>
            <w:tcBorders>
              <w:top w:val="single" w:color="auto" w:sz="4" w:space="0"/>
              <w:left w:val="single" w:color="auto" w:sz="4" w:space="0"/>
              <w:bottom w:val="single" w:color="auto" w:sz="4" w:space="0"/>
              <w:right w:val="single" w:color="auto" w:sz="4" w:space="0"/>
            </w:tcBorders>
            <w:shd w:val="clear" w:color="auto" w:fill="auto"/>
            <w:vAlign w:val="center"/>
          </w:tcPr>
          <w:p w14:paraId="6BA4D93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项目编码</w:t>
            </w:r>
          </w:p>
        </w:tc>
        <w:tc>
          <w:tcPr>
            <w:tcW w:w="5599"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18F31300">
            <w:pPr>
              <w:jc w:val="center"/>
              <w:rPr>
                <w:rFonts w:hint="eastAsia" w:ascii="宋体" w:hAnsi="宋体" w:eastAsia="宋体" w:cs="宋体"/>
                <w:i w:val="0"/>
                <w:iCs w:val="0"/>
                <w:color w:val="000000"/>
                <w:sz w:val="20"/>
                <w:szCs w:val="20"/>
                <w:u w:val="none"/>
              </w:rPr>
            </w:pPr>
          </w:p>
        </w:tc>
      </w:tr>
      <w:tr w14:paraId="5D214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tblHeader/>
          <w:jc w:val="center"/>
        </w:trPr>
        <w:tc>
          <w:tcPr>
            <w:tcW w:w="3135"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BD5A10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主管部门及代码</w:t>
            </w:r>
          </w:p>
        </w:tc>
        <w:tc>
          <w:tcPr>
            <w:tcW w:w="4921"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4DBC6B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869001/</w:t>
            </w:r>
            <w:r>
              <w:rPr>
                <w:rFonts w:hint="eastAsia" w:ascii="宋体" w:hAnsi="宋体" w:eastAsia="宋体" w:cs="宋体"/>
                <w:i w:val="0"/>
                <w:iCs w:val="0"/>
                <w:color w:val="000000"/>
                <w:kern w:val="0"/>
                <w:sz w:val="22"/>
                <w:szCs w:val="22"/>
                <w:u w:val="none"/>
                <w:lang w:val="en-US" w:eastAsia="zh-CN" w:bidi="ar"/>
              </w:rPr>
              <w:t>贵州贵安新区公安局交通警察支队</w:t>
            </w:r>
          </w:p>
        </w:tc>
        <w:tc>
          <w:tcPr>
            <w:tcW w:w="1359" w:type="dxa"/>
            <w:tcBorders>
              <w:top w:val="single" w:color="auto" w:sz="4" w:space="0"/>
              <w:left w:val="single" w:color="auto" w:sz="4" w:space="0"/>
              <w:bottom w:val="single" w:color="auto" w:sz="4" w:space="0"/>
              <w:right w:val="single" w:color="auto" w:sz="4" w:space="0"/>
            </w:tcBorders>
            <w:shd w:val="clear" w:color="auto" w:fill="FFFFFF"/>
            <w:vAlign w:val="center"/>
          </w:tcPr>
          <w:p w14:paraId="294182D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实施单位</w:t>
            </w:r>
          </w:p>
        </w:tc>
        <w:tc>
          <w:tcPr>
            <w:tcW w:w="5599"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401B38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贵州贵安新区公安局交通警察支队</w:t>
            </w:r>
          </w:p>
        </w:tc>
      </w:tr>
      <w:tr w14:paraId="68555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jc w:val="center"/>
        </w:trPr>
        <w:tc>
          <w:tcPr>
            <w:tcW w:w="3135" w:type="dxa"/>
            <w:gridSpan w:val="2"/>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2384AAC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资金来源</w:t>
            </w:r>
          </w:p>
        </w:tc>
        <w:tc>
          <w:tcPr>
            <w:tcW w:w="11879" w:type="dxa"/>
            <w:gridSpan w:val="7"/>
            <w:tcBorders>
              <w:top w:val="single" w:color="auto" w:sz="4" w:space="0"/>
              <w:left w:val="single" w:color="auto" w:sz="4" w:space="0"/>
              <w:bottom w:val="single" w:color="auto" w:sz="4" w:space="0"/>
              <w:right w:val="single" w:color="auto" w:sz="4" w:space="0"/>
            </w:tcBorders>
            <w:shd w:val="clear" w:color="auto" w:fill="FFFFFF"/>
            <w:vAlign w:val="center"/>
          </w:tcPr>
          <w:p w14:paraId="62F9E5F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年度资金情况</w:t>
            </w:r>
          </w:p>
        </w:tc>
      </w:tr>
      <w:tr w14:paraId="7A4E0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jc w:val="center"/>
        </w:trPr>
        <w:tc>
          <w:tcPr>
            <w:tcW w:w="3135" w:type="dxa"/>
            <w:gridSpan w:val="2"/>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1C759650">
            <w:pPr>
              <w:jc w:val="center"/>
              <w:rPr>
                <w:rFonts w:hint="eastAsia" w:ascii="宋体" w:hAnsi="宋体" w:eastAsia="宋体" w:cs="宋体"/>
                <w:b/>
                <w:bCs/>
                <w:i w:val="0"/>
                <w:iCs w:val="0"/>
                <w:color w:val="000000"/>
                <w:sz w:val="20"/>
                <w:szCs w:val="20"/>
                <w:u w:val="none"/>
              </w:rPr>
            </w:pPr>
          </w:p>
        </w:tc>
        <w:tc>
          <w:tcPr>
            <w:tcW w:w="3567"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3FFBDD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资金总额(元)：</w:t>
            </w:r>
          </w:p>
        </w:tc>
        <w:tc>
          <w:tcPr>
            <w:tcW w:w="8312"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0B34B1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496,738.64</w:t>
            </w:r>
          </w:p>
        </w:tc>
      </w:tr>
      <w:tr w14:paraId="2F8ED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jc w:val="center"/>
        </w:trPr>
        <w:tc>
          <w:tcPr>
            <w:tcW w:w="3135" w:type="dxa"/>
            <w:gridSpan w:val="2"/>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9AF0821">
            <w:pPr>
              <w:jc w:val="center"/>
              <w:rPr>
                <w:rFonts w:hint="eastAsia" w:ascii="宋体" w:hAnsi="宋体" w:eastAsia="宋体" w:cs="宋体"/>
                <w:b/>
                <w:bCs/>
                <w:i w:val="0"/>
                <w:iCs w:val="0"/>
                <w:color w:val="000000"/>
                <w:sz w:val="20"/>
                <w:szCs w:val="20"/>
                <w:u w:val="none"/>
              </w:rPr>
            </w:pPr>
          </w:p>
        </w:tc>
        <w:tc>
          <w:tcPr>
            <w:tcW w:w="3567"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8C2AE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财政拨款</w:t>
            </w:r>
          </w:p>
        </w:tc>
        <w:tc>
          <w:tcPr>
            <w:tcW w:w="8312"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7E0AEB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496,738.64</w:t>
            </w:r>
          </w:p>
        </w:tc>
      </w:tr>
      <w:tr w14:paraId="73738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jc w:val="center"/>
        </w:trPr>
        <w:tc>
          <w:tcPr>
            <w:tcW w:w="3135" w:type="dxa"/>
            <w:gridSpan w:val="2"/>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054C61FB">
            <w:pPr>
              <w:jc w:val="center"/>
              <w:rPr>
                <w:rFonts w:hint="eastAsia" w:ascii="宋体" w:hAnsi="宋体" w:eastAsia="宋体" w:cs="宋体"/>
                <w:b/>
                <w:bCs/>
                <w:i w:val="0"/>
                <w:iCs w:val="0"/>
                <w:color w:val="000000"/>
                <w:sz w:val="20"/>
                <w:szCs w:val="20"/>
                <w:u w:val="none"/>
              </w:rPr>
            </w:pPr>
          </w:p>
        </w:tc>
        <w:tc>
          <w:tcPr>
            <w:tcW w:w="3567"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5DE49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其中：上级补助</w:t>
            </w:r>
          </w:p>
        </w:tc>
        <w:tc>
          <w:tcPr>
            <w:tcW w:w="8312"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2C8B73D2">
            <w:pPr>
              <w:jc w:val="center"/>
              <w:rPr>
                <w:rFonts w:hint="eastAsia" w:ascii="宋体" w:hAnsi="宋体" w:eastAsia="宋体" w:cs="宋体"/>
                <w:i w:val="0"/>
                <w:iCs w:val="0"/>
                <w:color w:val="000000"/>
                <w:sz w:val="20"/>
                <w:szCs w:val="20"/>
                <w:u w:val="none"/>
              </w:rPr>
            </w:pPr>
          </w:p>
        </w:tc>
      </w:tr>
      <w:tr w14:paraId="3F9BF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jc w:val="center"/>
        </w:trPr>
        <w:tc>
          <w:tcPr>
            <w:tcW w:w="3135" w:type="dxa"/>
            <w:gridSpan w:val="2"/>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1A163F4E">
            <w:pPr>
              <w:jc w:val="center"/>
              <w:rPr>
                <w:rFonts w:hint="eastAsia" w:ascii="宋体" w:hAnsi="宋体" w:eastAsia="宋体" w:cs="宋体"/>
                <w:b/>
                <w:bCs/>
                <w:i w:val="0"/>
                <w:iCs w:val="0"/>
                <w:color w:val="000000"/>
                <w:sz w:val="20"/>
                <w:szCs w:val="20"/>
                <w:u w:val="none"/>
              </w:rPr>
            </w:pPr>
          </w:p>
        </w:tc>
        <w:tc>
          <w:tcPr>
            <w:tcW w:w="3567"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3A5941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本级安排</w:t>
            </w:r>
          </w:p>
        </w:tc>
        <w:tc>
          <w:tcPr>
            <w:tcW w:w="8312"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6EE514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496,738.64</w:t>
            </w:r>
          </w:p>
        </w:tc>
      </w:tr>
      <w:tr w14:paraId="43A21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jc w:val="center"/>
        </w:trPr>
        <w:tc>
          <w:tcPr>
            <w:tcW w:w="3135" w:type="dxa"/>
            <w:gridSpan w:val="2"/>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4FE7682">
            <w:pPr>
              <w:jc w:val="center"/>
              <w:rPr>
                <w:rFonts w:hint="eastAsia" w:ascii="宋体" w:hAnsi="宋体" w:eastAsia="宋体" w:cs="宋体"/>
                <w:b/>
                <w:bCs/>
                <w:i w:val="0"/>
                <w:iCs w:val="0"/>
                <w:color w:val="000000"/>
                <w:sz w:val="20"/>
                <w:szCs w:val="20"/>
                <w:u w:val="none"/>
              </w:rPr>
            </w:pPr>
          </w:p>
        </w:tc>
        <w:tc>
          <w:tcPr>
            <w:tcW w:w="3567"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50AA4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其他资金</w:t>
            </w:r>
          </w:p>
        </w:tc>
        <w:tc>
          <w:tcPr>
            <w:tcW w:w="8312"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2257C876">
            <w:pPr>
              <w:jc w:val="center"/>
              <w:rPr>
                <w:rFonts w:hint="eastAsia" w:ascii="宋体" w:hAnsi="宋体" w:eastAsia="宋体" w:cs="宋体"/>
                <w:i w:val="0"/>
                <w:iCs w:val="0"/>
                <w:color w:val="000000"/>
                <w:sz w:val="20"/>
                <w:szCs w:val="20"/>
                <w:u w:val="none"/>
              </w:rPr>
            </w:pPr>
          </w:p>
        </w:tc>
      </w:tr>
      <w:tr w14:paraId="3BF23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hRule="atLeast"/>
          <w:jc w:val="center"/>
        </w:trPr>
        <w:tc>
          <w:tcPr>
            <w:tcW w:w="17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2AE8A4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绩效目标</w:t>
            </w:r>
          </w:p>
        </w:tc>
        <w:tc>
          <w:tcPr>
            <w:tcW w:w="13271" w:type="dxa"/>
            <w:gridSpan w:val="8"/>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A77A6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安新区百马大道与天玑路交叉路口由于道路标志标线不完善，旁边电子科技职业技术学院师生和富士康公租房居民出行需求大，且交通安全隐患较大，为改善该路口周边区域市民安全出行，需对该路口相应交通标志标线进行提升、改造。</w:t>
            </w:r>
          </w:p>
        </w:tc>
      </w:tr>
      <w:tr w14:paraId="36206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hRule="atLeast"/>
          <w:jc w:val="center"/>
        </w:trPr>
        <w:tc>
          <w:tcPr>
            <w:tcW w:w="17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F00685B">
            <w:pPr>
              <w:jc w:val="center"/>
              <w:rPr>
                <w:rFonts w:hint="eastAsia" w:ascii="宋体" w:hAnsi="宋体" w:eastAsia="宋体" w:cs="宋体"/>
                <w:b/>
                <w:bCs/>
                <w:i w:val="0"/>
                <w:iCs w:val="0"/>
                <w:color w:val="000000"/>
                <w:sz w:val="20"/>
                <w:szCs w:val="20"/>
                <w:u w:val="none"/>
              </w:rPr>
            </w:pPr>
          </w:p>
        </w:tc>
        <w:tc>
          <w:tcPr>
            <w:tcW w:w="13271" w:type="dxa"/>
            <w:gridSpan w:val="8"/>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093DA08">
            <w:pPr>
              <w:jc w:val="center"/>
              <w:rPr>
                <w:rFonts w:hint="eastAsia" w:ascii="宋体" w:hAnsi="宋体" w:eastAsia="宋体" w:cs="宋体"/>
                <w:i w:val="0"/>
                <w:iCs w:val="0"/>
                <w:color w:val="000000"/>
                <w:sz w:val="20"/>
                <w:szCs w:val="20"/>
                <w:u w:val="none"/>
              </w:rPr>
            </w:pPr>
          </w:p>
        </w:tc>
      </w:tr>
      <w:tr w14:paraId="46A2C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jc w:val="center"/>
        </w:trPr>
        <w:tc>
          <w:tcPr>
            <w:tcW w:w="17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7DD696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一级指标</w:t>
            </w:r>
          </w:p>
        </w:tc>
        <w:tc>
          <w:tcPr>
            <w:tcW w:w="139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FE327E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二级指标</w:t>
            </w:r>
          </w:p>
        </w:tc>
        <w:tc>
          <w:tcPr>
            <w:tcW w:w="253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FBD590C">
            <w:pPr>
              <w:keepNext w:val="0"/>
              <w:keepLines w:val="0"/>
              <w:widowControl/>
              <w:suppressLineNumbers w:val="0"/>
              <w:jc w:val="center"/>
              <w:textAlignment w:val="center"/>
              <w:rPr>
                <w:rFonts w:hint="eastAsia" w:ascii="宋体" w:hAnsi="宋体" w:eastAsia="宋体" w:cs="宋体"/>
                <w:b/>
                <w:bCs/>
                <w:i w:val="0"/>
                <w:iCs w:val="0"/>
                <w:color w:val="FF0000"/>
                <w:sz w:val="20"/>
                <w:szCs w:val="20"/>
                <w:u w:val="none"/>
              </w:rPr>
            </w:pPr>
            <w:r>
              <w:rPr>
                <w:rFonts w:hint="eastAsia" w:ascii="宋体" w:hAnsi="宋体" w:eastAsia="宋体" w:cs="宋体"/>
                <w:b/>
                <w:bCs/>
                <w:i w:val="0"/>
                <w:iCs w:val="0"/>
                <w:color w:val="000000"/>
                <w:kern w:val="0"/>
                <w:sz w:val="20"/>
                <w:szCs w:val="20"/>
                <w:u w:val="none"/>
                <w:lang w:val="en-US" w:eastAsia="zh-CN" w:bidi="ar"/>
              </w:rPr>
              <w:t>三级指标</w:t>
            </w:r>
          </w:p>
        </w:tc>
        <w:tc>
          <w:tcPr>
            <w:tcW w:w="3744"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06C34CA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指标值</w:t>
            </w:r>
          </w:p>
        </w:tc>
        <w:tc>
          <w:tcPr>
            <w:tcW w:w="216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1C1F4D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备注（指标解释等）</w:t>
            </w:r>
          </w:p>
        </w:tc>
        <w:tc>
          <w:tcPr>
            <w:tcW w:w="343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BF0464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指标值说明（评分标准等）</w:t>
            </w:r>
          </w:p>
        </w:tc>
      </w:tr>
      <w:tr w14:paraId="0F361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jc w:val="center"/>
        </w:trPr>
        <w:tc>
          <w:tcPr>
            <w:tcW w:w="17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003A1B">
            <w:pPr>
              <w:jc w:val="center"/>
              <w:rPr>
                <w:rFonts w:hint="eastAsia" w:ascii="宋体" w:hAnsi="宋体" w:eastAsia="宋体" w:cs="宋体"/>
                <w:b/>
                <w:bCs/>
                <w:i w:val="0"/>
                <w:iCs w:val="0"/>
                <w:color w:val="000000"/>
                <w:sz w:val="20"/>
                <w:szCs w:val="20"/>
                <w:u w:val="none"/>
              </w:rPr>
            </w:pPr>
          </w:p>
        </w:tc>
        <w:tc>
          <w:tcPr>
            <w:tcW w:w="139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00DEB3">
            <w:pPr>
              <w:jc w:val="center"/>
              <w:rPr>
                <w:rFonts w:hint="eastAsia" w:ascii="宋体" w:hAnsi="宋体" w:eastAsia="宋体" w:cs="宋体"/>
                <w:b/>
                <w:bCs/>
                <w:i w:val="0"/>
                <w:iCs w:val="0"/>
                <w:color w:val="000000"/>
                <w:sz w:val="20"/>
                <w:szCs w:val="20"/>
                <w:u w:val="none"/>
              </w:rPr>
            </w:pPr>
          </w:p>
        </w:tc>
        <w:tc>
          <w:tcPr>
            <w:tcW w:w="25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FCC3B57">
            <w:pPr>
              <w:jc w:val="center"/>
              <w:rPr>
                <w:rFonts w:hint="eastAsia" w:ascii="宋体" w:hAnsi="宋体" w:eastAsia="宋体" w:cs="宋体"/>
                <w:b/>
                <w:bCs/>
                <w:i w:val="0"/>
                <w:iCs w:val="0"/>
                <w:color w:val="FF0000"/>
                <w:sz w:val="20"/>
                <w:szCs w:val="20"/>
                <w:u w:val="none"/>
              </w:rPr>
            </w:pP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69811901">
            <w:pPr>
              <w:keepNext w:val="0"/>
              <w:keepLines w:val="0"/>
              <w:widowControl/>
              <w:suppressLineNumbers w:val="0"/>
              <w:jc w:val="center"/>
              <w:textAlignment w:val="center"/>
              <w:rPr>
                <w:rFonts w:hint="eastAsia" w:ascii="宋体" w:hAnsi="宋体" w:eastAsia="宋体" w:cs="宋体"/>
                <w:b/>
                <w:bCs/>
                <w:i w:val="0"/>
                <w:iCs w:val="0"/>
                <w:color w:val="FF0000"/>
                <w:sz w:val="20"/>
                <w:szCs w:val="20"/>
                <w:u w:val="none"/>
              </w:rPr>
            </w:pPr>
            <w:r>
              <w:rPr>
                <w:rFonts w:hint="eastAsia" w:ascii="宋体" w:hAnsi="宋体" w:eastAsia="宋体" w:cs="宋体"/>
                <w:b/>
                <w:bCs/>
                <w:i w:val="0"/>
                <w:iCs w:val="0"/>
                <w:color w:val="000000"/>
                <w:kern w:val="0"/>
                <w:sz w:val="20"/>
                <w:szCs w:val="20"/>
                <w:u w:val="none"/>
                <w:lang w:val="en-US" w:eastAsia="zh-CN" w:bidi="ar"/>
              </w:rPr>
              <w:t>符号</w:t>
            </w:r>
          </w:p>
        </w:tc>
        <w:tc>
          <w:tcPr>
            <w:tcW w:w="1354" w:type="dxa"/>
            <w:tcBorders>
              <w:top w:val="single" w:color="auto" w:sz="4" w:space="0"/>
              <w:left w:val="single" w:color="auto" w:sz="4" w:space="0"/>
              <w:bottom w:val="single" w:color="auto" w:sz="4" w:space="0"/>
              <w:right w:val="single" w:color="auto" w:sz="4" w:space="0"/>
            </w:tcBorders>
            <w:shd w:val="clear" w:color="auto" w:fill="auto"/>
            <w:vAlign w:val="center"/>
          </w:tcPr>
          <w:p w14:paraId="0FA6A510">
            <w:pPr>
              <w:keepNext w:val="0"/>
              <w:keepLines w:val="0"/>
              <w:widowControl/>
              <w:suppressLineNumbers w:val="0"/>
              <w:jc w:val="center"/>
              <w:textAlignment w:val="center"/>
              <w:rPr>
                <w:rFonts w:hint="eastAsia" w:ascii="宋体" w:hAnsi="宋体" w:eastAsia="宋体" w:cs="宋体"/>
                <w:b/>
                <w:bCs/>
                <w:i w:val="0"/>
                <w:iCs w:val="0"/>
                <w:color w:val="FF0000"/>
                <w:sz w:val="20"/>
                <w:szCs w:val="20"/>
                <w:u w:val="none"/>
              </w:rPr>
            </w:pPr>
            <w:r>
              <w:rPr>
                <w:rFonts w:hint="eastAsia" w:ascii="宋体" w:hAnsi="宋体" w:eastAsia="宋体" w:cs="宋体"/>
                <w:b/>
                <w:bCs/>
                <w:i w:val="0"/>
                <w:iCs w:val="0"/>
                <w:color w:val="000000"/>
                <w:kern w:val="0"/>
                <w:sz w:val="20"/>
                <w:szCs w:val="20"/>
                <w:u w:val="none"/>
                <w:lang w:val="en-US" w:eastAsia="zh-CN" w:bidi="ar"/>
              </w:rPr>
              <w:t>值</w:t>
            </w:r>
          </w:p>
        </w:tc>
        <w:tc>
          <w:tcPr>
            <w:tcW w:w="13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E6C72F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计量单位</w:t>
            </w:r>
          </w:p>
        </w:tc>
        <w:tc>
          <w:tcPr>
            <w:tcW w:w="216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EF2348">
            <w:pPr>
              <w:jc w:val="center"/>
              <w:rPr>
                <w:rFonts w:hint="eastAsia" w:ascii="宋体" w:hAnsi="宋体" w:eastAsia="宋体" w:cs="宋体"/>
                <w:b/>
                <w:bCs/>
                <w:i w:val="0"/>
                <w:iCs w:val="0"/>
                <w:color w:val="000000"/>
                <w:sz w:val="20"/>
                <w:szCs w:val="20"/>
                <w:u w:val="none"/>
              </w:rPr>
            </w:pPr>
          </w:p>
        </w:tc>
        <w:tc>
          <w:tcPr>
            <w:tcW w:w="34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AAA5795">
            <w:pPr>
              <w:jc w:val="center"/>
              <w:rPr>
                <w:rFonts w:hint="eastAsia" w:ascii="宋体" w:hAnsi="宋体" w:eastAsia="宋体" w:cs="宋体"/>
                <w:b/>
                <w:bCs/>
                <w:i w:val="0"/>
                <w:iCs w:val="0"/>
                <w:color w:val="000000"/>
                <w:sz w:val="20"/>
                <w:szCs w:val="20"/>
                <w:u w:val="none"/>
              </w:rPr>
            </w:pPr>
          </w:p>
        </w:tc>
      </w:tr>
      <w:tr w14:paraId="2F96D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7" w:hRule="atLeast"/>
          <w:jc w:val="center"/>
        </w:trPr>
        <w:tc>
          <w:tcPr>
            <w:tcW w:w="17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AA14B3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产出指标</w:t>
            </w:r>
          </w:p>
        </w:tc>
        <w:tc>
          <w:tcPr>
            <w:tcW w:w="1392" w:type="dxa"/>
            <w:vMerge w:val="restart"/>
            <w:tcBorders>
              <w:top w:val="single" w:color="auto" w:sz="4" w:space="0"/>
              <w:left w:val="single" w:color="auto" w:sz="4" w:space="0"/>
              <w:right w:val="single" w:color="auto" w:sz="4" w:space="0"/>
            </w:tcBorders>
            <w:shd w:val="clear" w:color="auto" w:fill="FFFFFF"/>
            <w:vAlign w:val="center"/>
          </w:tcPr>
          <w:p w14:paraId="7293CA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数量指标</w:t>
            </w:r>
          </w:p>
        </w:tc>
        <w:tc>
          <w:tcPr>
            <w:tcW w:w="2537" w:type="dxa"/>
            <w:tcBorders>
              <w:top w:val="single" w:color="auto" w:sz="4" w:space="0"/>
              <w:left w:val="single" w:color="auto" w:sz="4" w:space="0"/>
              <w:bottom w:val="single" w:color="auto" w:sz="4" w:space="0"/>
              <w:right w:val="single" w:color="auto" w:sz="4" w:space="0"/>
            </w:tcBorders>
            <w:shd w:val="clear" w:color="auto" w:fill="FFFFFF"/>
            <w:vAlign w:val="center"/>
          </w:tcPr>
          <w:p w14:paraId="1677C1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完善路口交通标线面积数</w:t>
            </w:r>
          </w:p>
        </w:tc>
        <w:tc>
          <w:tcPr>
            <w:tcW w:w="1030" w:type="dxa"/>
            <w:tcBorders>
              <w:top w:val="single" w:color="auto" w:sz="4" w:space="0"/>
              <w:left w:val="single" w:color="auto" w:sz="4" w:space="0"/>
              <w:bottom w:val="single" w:color="auto" w:sz="4" w:space="0"/>
              <w:right w:val="single" w:color="auto" w:sz="4" w:space="0"/>
            </w:tcBorders>
            <w:shd w:val="clear" w:color="auto" w:fill="FFFFFF"/>
            <w:vAlign w:val="center"/>
          </w:tcPr>
          <w:p w14:paraId="22B674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354" w:type="dxa"/>
            <w:tcBorders>
              <w:top w:val="single" w:color="auto" w:sz="4" w:space="0"/>
              <w:left w:val="single" w:color="auto" w:sz="4" w:space="0"/>
              <w:bottom w:val="single" w:color="auto" w:sz="4" w:space="0"/>
              <w:right w:val="single" w:color="auto" w:sz="4" w:space="0"/>
            </w:tcBorders>
            <w:shd w:val="clear" w:color="auto" w:fill="FFFFFF"/>
            <w:vAlign w:val="center"/>
          </w:tcPr>
          <w:p w14:paraId="5A78CD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2275</w:t>
            </w:r>
          </w:p>
        </w:tc>
        <w:tc>
          <w:tcPr>
            <w:tcW w:w="136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C63DB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平方米</w:t>
            </w:r>
          </w:p>
        </w:tc>
        <w:tc>
          <w:tcPr>
            <w:tcW w:w="2161" w:type="dxa"/>
            <w:tcBorders>
              <w:top w:val="single" w:color="auto" w:sz="4" w:space="0"/>
              <w:left w:val="single" w:color="auto" w:sz="4" w:space="0"/>
              <w:bottom w:val="single" w:color="auto" w:sz="4" w:space="0"/>
              <w:right w:val="single" w:color="auto" w:sz="4" w:space="0"/>
            </w:tcBorders>
            <w:shd w:val="clear" w:color="auto" w:fill="FFFFFF"/>
            <w:vAlign w:val="center"/>
          </w:tcPr>
          <w:p w14:paraId="67B394B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反映本项目实施后，是否完成计划完善路口交通标线面积任务</w:t>
            </w:r>
          </w:p>
        </w:tc>
        <w:tc>
          <w:tcPr>
            <w:tcW w:w="3437" w:type="dxa"/>
            <w:tcBorders>
              <w:top w:val="single" w:color="auto" w:sz="4" w:space="0"/>
              <w:left w:val="single" w:color="auto" w:sz="4" w:space="0"/>
              <w:bottom w:val="single" w:color="auto" w:sz="4" w:space="0"/>
              <w:right w:val="single" w:color="auto" w:sz="4" w:space="0"/>
            </w:tcBorders>
            <w:shd w:val="clear" w:color="auto" w:fill="FFFFFF"/>
            <w:vAlign w:val="center"/>
          </w:tcPr>
          <w:p w14:paraId="47C350F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评分标准：完善路口交通标线面积≥2275平方米，得满分，每少10平方米，扣1分，扣完为止。</w:t>
            </w:r>
          </w:p>
        </w:tc>
      </w:tr>
      <w:tr w14:paraId="50F30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5" w:hRule="atLeast"/>
          <w:jc w:val="center"/>
        </w:trPr>
        <w:tc>
          <w:tcPr>
            <w:tcW w:w="17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01862A9">
            <w:pPr>
              <w:jc w:val="center"/>
              <w:rPr>
                <w:rFonts w:hint="eastAsia" w:ascii="宋体" w:hAnsi="宋体" w:eastAsia="宋体" w:cs="宋体"/>
                <w:b/>
                <w:bCs/>
                <w:i w:val="0"/>
                <w:iCs w:val="0"/>
                <w:color w:val="000000"/>
                <w:sz w:val="20"/>
                <w:szCs w:val="20"/>
                <w:u w:val="none"/>
              </w:rPr>
            </w:pPr>
          </w:p>
        </w:tc>
        <w:tc>
          <w:tcPr>
            <w:tcW w:w="1392" w:type="dxa"/>
            <w:vMerge w:val="continue"/>
            <w:tcBorders>
              <w:left w:val="single" w:color="auto" w:sz="4" w:space="0"/>
              <w:bottom w:val="single" w:color="auto" w:sz="4" w:space="0"/>
              <w:right w:val="single" w:color="auto" w:sz="4" w:space="0"/>
            </w:tcBorders>
            <w:shd w:val="clear" w:color="auto" w:fill="FFFFFF"/>
            <w:vAlign w:val="center"/>
          </w:tcPr>
          <w:p w14:paraId="32C439B8">
            <w:pPr>
              <w:jc w:val="center"/>
              <w:rPr>
                <w:rFonts w:hint="eastAsia" w:ascii="宋体" w:hAnsi="宋体" w:eastAsia="宋体" w:cs="宋体"/>
                <w:i w:val="0"/>
                <w:iCs w:val="0"/>
                <w:color w:val="000000"/>
                <w:sz w:val="22"/>
                <w:szCs w:val="22"/>
                <w:u w:val="none"/>
              </w:rPr>
            </w:pPr>
          </w:p>
        </w:tc>
        <w:tc>
          <w:tcPr>
            <w:tcW w:w="2537" w:type="dxa"/>
            <w:tcBorders>
              <w:top w:val="single" w:color="auto" w:sz="4" w:space="0"/>
              <w:left w:val="single" w:color="auto" w:sz="4" w:space="0"/>
              <w:bottom w:val="single" w:color="auto" w:sz="4" w:space="0"/>
              <w:right w:val="single" w:color="auto" w:sz="4" w:space="0"/>
            </w:tcBorders>
            <w:shd w:val="clear" w:color="auto" w:fill="FFFFFF"/>
            <w:vAlign w:val="center"/>
          </w:tcPr>
          <w:p w14:paraId="53B91B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清除错误标线面积数</w:t>
            </w:r>
          </w:p>
        </w:tc>
        <w:tc>
          <w:tcPr>
            <w:tcW w:w="1030" w:type="dxa"/>
            <w:tcBorders>
              <w:top w:val="single" w:color="auto" w:sz="4" w:space="0"/>
              <w:left w:val="single" w:color="auto" w:sz="4" w:space="0"/>
              <w:bottom w:val="single" w:color="auto" w:sz="4" w:space="0"/>
              <w:right w:val="single" w:color="auto" w:sz="4" w:space="0"/>
            </w:tcBorders>
            <w:shd w:val="clear" w:color="auto" w:fill="FFFFFF"/>
            <w:vAlign w:val="center"/>
          </w:tcPr>
          <w:p w14:paraId="7F46D7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354" w:type="dxa"/>
            <w:tcBorders>
              <w:top w:val="single" w:color="auto" w:sz="4" w:space="0"/>
              <w:left w:val="single" w:color="auto" w:sz="4" w:space="0"/>
              <w:bottom w:val="single" w:color="auto" w:sz="4" w:space="0"/>
              <w:right w:val="single" w:color="auto" w:sz="4" w:space="0"/>
            </w:tcBorders>
            <w:shd w:val="clear" w:color="auto" w:fill="FFFFFF"/>
            <w:vAlign w:val="center"/>
          </w:tcPr>
          <w:p w14:paraId="27FB77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472</w:t>
            </w:r>
          </w:p>
        </w:tc>
        <w:tc>
          <w:tcPr>
            <w:tcW w:w="136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C8A99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平方米</w:t>
            </w:r>
          </w:p>
        </w:tc>
        <w:tc>
          <w:tcPr>
            <w:tcW w:w="2161" w:type="dxa"/>
            <w:tcBorders>
              <w:top w:val="single" w:color="auto" w:sz="4" w:space="0"/>
              <w:left w:val="single" w:color="auto" w:sz="4" w:space="0"/>
              <w:bottom w:val="single" w:color="auto" w:sz="4" w:space="0"/>
              <w:right w:val="single" w:color="auto" w:sz="4" w:space="0"/>
            </w:tcBorders>
            <w:shd w:val="clear" w:color="auto" w:fill="FFFFFF"/>
            <w:vAlign w:val="center"/>
          </w:tcPr>
          <w:p w14:paraId="4DB3A5B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反映本项目实施后，是否完成计划清除错误标线面积数任务</w:t>
            </w:r>
          </w:p>
        </w:tc>
        <w:tc>
          <w:tcPr>
            <w:tcW w:w="3437" w:type="dxa"/>
            <w:tcBorders>
              <w:top w:val="single" w:color="auto" w:sz="4" w:space="0"/>
              <w:left w:val="single" w:color="auto" w:sz="4" w:space="0"/>
              <w:bottom w:val="single" w:color="auto" w:sz="4" w:space="0"/>
              <w:right w:val="single" w:color="auto" w:sz="4" w:space="0"/>
            </w:tcBorders>
            <w:shd w:val="clear" w:color="auto" w:fill="FFFFFF"/>
            <w:vAlign w:val="center"/>
          </w:tcPr>
          <w:p w14:paraId="0B1AC21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评分标准：清除错误标线面积数≥472平方米，得满分，每少5平方米，扣1分，扣完为止。</w:t>
            </w:r>
          </w:p>
        </w:tc>
      </w:tr>
      <w:tr w14:paraId="6F40A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2" w:hRule="atLeast"/>
          <w:jc w:val="center"/>
        </w:trPr>
        <w:tc>
          <w:tcPr>
            <w:tcW w:w="1743" w:type="dxa"/>
            <w:vMerge w:val="restart"/>
            <w:tcBorders>
              <w:top w:val="single" w:color="auto" w:sz="4" w:space="0"/>
              <w:left w:val="single" w:color="auto" w:sz="4" w:space="0"/>
              <w:right w:val="single" w:color="auto" w:sz="4" w:space="0"/>
            </w:tcBorders>
            <w:shd w:val="clear" w:color="auto" w:fill="auto"/>
            <w:vAlign w:val="center"/>
          </w:tcPr>
          <w:p w14:paraId="0EB09868">
            <w:pPr>
              <w:jc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产出指标</w:t>
            </w:r>
          </w:p>
        </w:tc>
        <w:tc>
          <w:tcPr>
            <w:tcW w:w="1392"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1464D5C8">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数量指标</w:t>
            </w:r>
          </w:p>
        </w:tc>
        <w:tc>
          <w:tcPr>
            <w:tcW w:w="2537" w:type="dxa"/>
            <w:tcBorders>
              <w:top w:val="single" w:color="auto" w:sz="4" w:space="0"/>
              <w:left w:val="single" w:color="auto" w:sz="4" w:space="0"/>
              <w:bottom w:val="single" w:color="auto" w:sz="4" w:space="0"/>
              <w:right w:val="single" w:color="auto" w:sz="4" w:space="0"/>
            </w:tcBorders>
            <w:shd w:val="clear" w:color="auto" w:fill="FFFFFF"/>
            <w:vAlign w:val="center"/>
          </w:tcPr>
          <w:p w14:paraId="76A398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新建道路标志牌块数</w:t>
            </w:r>
          </w:p>
        </w:tc>
        <w:tc>
          <w:tcPr>
            <w:tcW w:w="1030" w:type="dxa"/>
            <w:tcBorders>
              <w:top w:val="single" w:color="auto" w:sz="4" w:space="0"/>
              <w:left w:val="single" w:color="auto" w:sz="4" w:space="0"/>
              <w:bottom w:val="single" w:color="auto" w:sz="4" w:space="0"/>
              <w:right w:val="single" w:color="auto" w:sz="4" w:space="0"/>
            </w:tcBorders>
            <w:shd w:val="clear" w:color="auto" w:fill="FFFFFF"/>
            <w:vAlign w:val="center"/>
          </w:tcPr>
          <w:p w14:paraId="7253E1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354" w:type="dxa"/>
            <w:tcBorders>
              <w:top w:val="single" w:color="auto" w:sz="4" w:space="0"/>
              <w:left w:val="single" w:color="auto" w:sz="4" w:space="0"/>
              <w:bottom w:val="single" w:color="auto" w:sz="4" w:space="0"/>
              <w:right w:val="single" w:color="auto" w:sz="4" w:space="0"/>
            </w:tcBorders>
            <w:shd w:val="clear" w:color="auto" w:fill="FFFFFF"/>
            <w:vAlign w:val="center"/>
          </w:tcPr>
          <w:p w14:paraId="48881F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36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3DB1C2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2161" w:type="dxa"/>
            <w:tcBorders>
              <w:top w:val="single" w:color="auto" w:sz="4" w:space="0"/>
              <w:left w:val="single" w:color="auto" w:sz="4" w:space="0"/>
              <w:bottom w:val="single" w:color="auto" w:sz="4" w:space="0"/>
              <w:right w:val="single" w:color="auto" w:sz="4" w:space="0"/>
            </w:tcBorders>
            <w:shd w:val="clear" w:color="auto" w:fill="FFFFFF"/>
            <w:vAlign w:val="center"/>
          </w:tcPr>
          <w:p w14:paraId="53C2D14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反映完成新建道路标志牌情况</w:t>
            </w:r>
          </w:p>
        </w:tc>
        <w:tc>
          <w:tcPr>
            <w:tcW w:w="3437" w:type="dxa"/>
            <w:tcBorders>
              <w:top w:val="single" w:color="auto" w:sz="4" w:space="0"/>
              <w:left w:val="single" w:color="auto" w:sz="4" w:space="0"/>
              <w:bottom w:val="single" w:color="auto" w:sz="4" w:space="0"/>
              <w:right w:val="single" w:color="auto" w:sz="4" w:space="0"/>
            </w:tcBorders>
            <w:shd w:val="clear" w:color="auto" w:fill="FFFFFF"/>
            <w:vAlign w:val="center"/>
          </w:tcPr>
          <w:p w14:paraId="35AD7AD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评分标准：新建道路标志牌块数≥28块，得满分，每少1块，扣1分，扣完为止。</w:t>
            </w:r>
          </w:p>
        </w:tc>
      </w:tr>
      <w:tr w14:paraId="126F3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3" w:hRule="atLeast"/>
          <w:jc w:val="center"/>
        </w:trPr>
        <w:tc>
          <w:tcPr>
            <w:tcW w:w="1743" w:type="dxa"/>
            <w:vMerge w:val="continue"/>
            <w:tcBorders>
              <w:left w:val="single" w:color="auto" w:sz="4" w:space="0"/>
              <w:right w:val="single" w:color="auto" w:sz="4" w:space="0"/>
            </w:tcBorders>
            <w:shd w:val="clear" w:color="auto" w:fill="auto"/>
            <w:vAlign w:val="center"/>
          </w:tcPr>
          <w:p w14:paraId="1C41F503">
            <w:pPr>
              <w:jc w:val="center"/>
              <w:rPr>
                <w:rFonts w:hint="eastAsia" w:ascii="宋体" w:hAnsi="宋体" w:eastAsia="宋体" w:cs="宋体"/>
                <w:b/>
                <w:bCs/>
                <w:i w:val="0"/>
                <w:iCs w:val="0"/>
                <w:color w:val="000000"/>
                <w:sz w:val="20"/>
                <w:szCs w:val="20"/>
                <w:u w:val="none"/>
              </w:rPr>
            </w:pPr>
          </w:p>
        </w:tc>
        <w:tc>
          <w:tcPr>
            <w:tcW w:w="139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232E0414">
            <w:pPr>
              <w:jc w:val="center"/>
              <w:rPr>
                <w:rFonts w:hint="eastAsia" w:ascii="宋体" w:hAnsi="宋体" w:eastAsia="宋体" w:cs="宋体"/>
                <w:i w:val="0"/>
                <w:iCs w:val="0"/>
                <w:color w:val="000000"/>
                <w:sz w:val="22"/>
                <w:szCs w:val="22"/>
                <w:u w:val="none"/>
              </w:rPr>
            </w:pPr>
          </w:p>
        </w:tc>
        <w:tc>
          <w:tcPr>
            <w:tcW w:w="2537" w:type="dxa"/>
            <w:tcBorders>
              <w:top w:val="single" w:color="auto" w:sz="4" w:space="0"/>
              <w:left w:val="single" w:color="auto" w:sz="4" w:space="0"/>
              <w:bottom w:val="single" w:color="auto" w:sz="4" w:space="0"/>
              <w:right w:val="single" w:color="auto" w:sz="4" w:space="0"/>
            </w:tcBorders>
            <w:shd w:val="clear" w:color="auto" w:fill="FFFFFF"/>
            <w:vAlign w:val="center"/>
          </w:tcPr>
          <w:p w14:paraId="4895FC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新增防撞条和警示柱个数</w:t>
            </w:r>
          </w:p>
        </w:tc>
        <w:tc>
          <w:tcPr>
            <w:tcW w:w="1030" w:type="dxa"/>
            <w:tcBorders>
              <w:top w:val="single" w:color="auto" w:sz="4" w:space="0"/>
              <w:left w:val="single" w:color="auto" w:sz="4" w:space="0"/>
              <w:bottom w:val="single" w:color="auto" w:sz="4" w:space="0"/>
              <w:right w:val="single" w:color="auto" w:sz="4" w:space="0"/>
            </w:tcBorders>
            <w:shd w:val="clear" w:color="auto" w:fill="FFFFFF"/>
            <w:vAlign w:val="center"/>
          </w:tcPr>
          <w:p w14:paraId="40BA4B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354" w:type="dxa"/>
            <w:tcBorders>
              <w:top w:val="single" w:color="auto" w:sz="4" w:space="0"/>
              <w:left w:val="single" w:color="auto" w:sz="4" w:space="0"/>
              <w:bottom w:val="single" w:color="auto" w:sz="4" w:space="0"/>
              <w:right w:val="single" w:color="auto" w:sz="4" w:space="0"/>
            </w:tcBorders>
            <w:shd w:val="clear" w:color="auto" w:fill="FFFFFF"/>
            <w:vAlign w:val="center"/>
          </w:tcPr>
          <w:p w14:paraId="435EA1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36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F7F67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2161" w:type="dxa"/>
            <w:tcBorders>
              <w:top w:val="single" w:color="auto" w:sz="4" w:space="0"/>
              <w:left w:val="single" w:color="auto" w:sz="4" w:space="0"/>
              <w:bottom w:val="single" w:color="auto" w:sz="4" w:space="0"/>
              <w:right w:val="single" w:color="auto" w:sz="4" w:space="0"/>
            </w:tcBorders>
            <w:shd w:val="clear" w:color="auto" w:fill="FFFFFF"/>
            <w:vAlign w:val="center"/>
          </w:tcPr>
          <w:p w14:paraId="5D74560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反映完成新增防撞条和警示柱情况</w:t>
            </w:r>
          </w:p>
        </w:tc>
        <w:tc>
          <w:tcPr>
            <w:tcW w:w="3437" w:type="dxa"/>
            <w:tcBorders>
              <w:top w:val="single" w:color="auto" w:sz="4" w:space="0"/>
              <w:left w:val="single" w:color="auto" w:sz="4" w:space="0"/>
              <w:bottom w:val="single" w:color="auto" w:sz="4" w:space="0"/>
              <w:right w:val="single" w:color="auto" w:sz="4" w:space="0"/>
            </w:tcBorders>
            <w:shd w:val="clear" w:color="auto" w:fill="FFFFFF"/>
            <w:vAlign w:val="center"/>
          </w:tcPr>
          <w:p w14:paraId="3D1ED1C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评分标准：新增防撞条和警示柱个数≥22个，得满分。否则不得分。</w:t>
            </w:r>
          </w:p>
        </w:tc>
      </w:tr>
      <w:tr w14:paraId="3855E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9" w:hRule="atLeast"/>
          <w:jc w:val="center"/>
        </w:trPr>
        <w:tc>
          <w:tcPr>
            <w:tcW w:w="1743" w:type="dxa"/>
            <w:vMerge w:val="continue"/>
            <w:tcBorders>
              <w:left w:val="single" w:color="auto" w:sz="4" w:space="0"/>
              <w:right w:val="single" w:color="auto" w:sz="4" w:space="0"/>
            </w:tcBorders>
            <w:shd w:val="clear" w:color="auto" w:fill="auto"/>
            <w:vAlign w:val="center"/>
          </w:tcPr>
          <w:p w14:paraId="6E6A9A87">
            <w:pPr>
              <w:jc w:val="center"/>
              <w:rPr>
                <w:rFonts w:hint="eastAsia" w:ascii="宋体" w:hAnsi="宋体" w:eastAsia="宋体" w:cs="宋体"/>
                <w:b/>
                <w:bCs/>
                <w:i w:val="0"/>
                <w:iCs w:val="0"/>
                <w:color w:val="000000"/>
                <w:sz w:val="20"/>
                <w:szCs w:val="20"/>
                <w:u w:val="none"/>
              </w:rPr>
            </w:pPr>
          </w:p>
        </w:tc>
        <w:tc>
          <w:tcPr>
            <w:tcW w:w="139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1DFC0F55">
            <w:pPr>
              <w:jc w:val="center"/>
              <w:rPr>
                <w:rFonts w:hint="eastAsia" w:ascii="宋体" w:hAnsi="宋体" w:eastAsia="宋体" w:cs="宋体"/>
                <w:i w:val="0"/>
                <w:iCs w:val="0"/>
                <w:color w:val="000000"/>
                <w:sz w:val="22"/>
                <w:szCs w:val="22"/>
                <w:u w:val="none"/>
              </w:rPr>
            </w:pPr>
          </w:p>
        </w:tc>
        <w:tc>
          <w:tcPr>
            <w:tcW w:w="2537" w:type="dxa"/>
            <w:tcBorders>
              <w:top w:val="single" w:color="auto" w:sz="4" w:space="0"/>
              <w:left w:val="single" w:color="auto" w:sz="4" w:space="0"/>
              <w:bottom w:val="single" w:color="auto" w:sz="4" w:space="0"/>
              <w:right w:val="single" w:color="auto" w:sz="4" w:space="0"/>
            </w:tcBorders>
            <w:shd w:val="clear" w:color="auto" w:fill="FFFFFF"/>
            <w:vAlign w:val="center"/>
          </w:tcPr>
          <w:p w14:paraId="5D0337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道路防撞岛座数</w:t>
            </w:r>
          </w:p>
        </w:tc>
        <w:tc>
          <w:tcPr>
            <w:tcW w:w="1030" w:type="dxa"/>
            <w:tcBorders>
              <w:top w:val="single" w:color="auto" w:sz="4" w:space="0"/>
              <w:left w:val="single" w:color="auto" w:sz="4" w:space="0"/>
              <w:bottom w:val="single" w:color="auto" w:sz="4" w:space="0"/>
              <w:right w:val="single" w:color="auto" w:sz="4" w:space="0"/>
            </w:tcBorders>
            <w:shd w:val="clear" w:color="auto" w:fill="FFFFFF"/>
            <w:vAlign w:val="center"/>
          </w:tcPr>
          <w:p w14:paraId="213D17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354" w:type="dxa"/>
            <w:tcBorders>
              <w:top w:val="single" w:color="auto" w:sz="4" w:space="0"/>
              <w:left w:val="single" w:color="auto" w:sz="4" w:space="0"/>
              <w:bottom w:val="single" w:color="auto" w:sz="4" w:space="0"/>
              <w:right w:val="single" w:color="auto" w:sz="4" w:space="0"/>
            </w:tcBorders>
            <w:shd w:val="clear" w:color="auto" w:fill="FFFFFF"/>
            <w:vAlign w:val="center"/>
          </w:tcPr>
          <w:p w14:paraId="1C296A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6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319202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座</w:t>
            </w:r>
          </w:p>
        </w:tc>
        <w:tc>
          <w:tcPr>
            <w:tcW w:w="2161" w:type="dxa"/>
            <w:tcBorders>
              <w:top w:val="single" w:color="auto" w:sz="4" w:space="0"/>
              <w:left w:val="single" w:color="auto" w:sz="4" w:space="0"/>
              <w:bottom w:val="single" w:color="auto" w:sz="4" w:space="0"/>
              <w:right w:val="single" w:color="auto" w:sz="4" w:space="0"/>
            </w:tcBorders>
            <w:shd w:val="clear" w:color="auto" w:fill="FFFFFF"/>
            <w:vAlign w:val="center"/>
          </w:tcPr>
          <w:p w14:paraId="40C261A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反映完成道路防撞岛建设情况</w:t>
            </w:r>
          </w:p>
        </w:tc>
        <w:tc>
          <w:tcPr>
            <w:tcW w:w="3437" w:type="dxa"/>
            <w:tcBorders>
              <w:top w:val="single" w:color="auto" w:sz="4" w:space="0"/>
              <w:left w:val="single" w:color="auto" w:sz="4" w:space="0"/>
              <w:bottom w:val="single" w:color="auto" w:sz="4" w:space="0"/>
              <w:right w:val="single" w:color="auto" w:sz="4" w:space="0"/>
            </w:tcBorders>
            <w:shd w:val="clear" w:color="auto" w:fill="FFFFFF"/>
            <w:vAlign w:val="center"/>
          </w:tcPr>
          <w:p w14:paraId="3653079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评分标准：道路防撞岛座数≥5座，得满分。否则不得分。</w:t>
            </w:r>
          </w:p>
        </w:tc>
      </w:tr>
      <w:tr w14:paraId="62780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4" w:hRule="atLeast"/>
          <w:jc w:val="center"/>
        </w:trPr>
        <w:tc>
          <w:tcPr>
            <w:tcW w:w="1743" w:type="dxa"/>
            <w:vMerge w:val="continue"/>
            <w:tcBorders>
              <w:left w:val="single" w:color="auto" w:sz="4" w:space="0"/>
              <w:right w:val="single" w:color="auto" w:sz="4" w:space="0"/>
            </w:tcBorders>
            <w:shd w:val="clear" w:color="auto" w:fill="auto"/>
            <w:vAlign w:val="center"/>
          </w:tcPr>
          <w:p w14:paraId="54CCF449">
            <w:pPr>
              <w:jc w:val="center"/>
              <w:rPr>
                <w:rFonts w:hint="eastAsia" w:ascii="宋体" w:hAnsi="宋体" w:eastAsia="宋体" w:cs="宋体"/>
                <w:b/>
                <w:bCs/>
                <w:i w:val="0"/>
                <w:iCs w:val="0"/>
                <w:color w:val="000000"/>
                <w:sz w:val="20"/>
                <w:szCs w:val="20"/>
                <w:u w:val="none"/>
              </w:rPr>
            </w:pPr>
          </w:p>
        </w:tc>
        <w:tc>
          <w:tcPr>
            <w:tcW w:w="139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1ADBD3CB">
            <w:pPr>
              <w:jc w:val="center"/>
              <w:rPr>
                <w:rFonts w:hint="eastAsia" w:ascii="宋体" w:hAnsi="宋体" w:eastAsia="宋体" w:cs="宋体"/>
                <w:i w:val="0"/>
                <w:iCs w:val="0"/>
                <w:color w:val="000000"/>
                <w:sz w:val="22"/>
                <w:szCs w:val="22"/>
                <w:u w:val="none"/>
              </w:rPr>
            </w:pPr>
          </w:p>
        </w:tc>
        <w:tc>
          <w:tcPr>
            <w:tcW w:w="2537" w:type="dxa"/>
            <w:tcBorders>
              <w:top w:val="single" w:color="auto" w:sz="4" w:space="0"/>
              <w:left w:val="single" w:color="auto" w:sz="4" w:space="0"/>
              <w:bottom w:val="single" w:color="auto" w:sz="4" w:space="0"/>
              <w:right w:val="single" w:color="auto" w:sz="4" w:space="0"/>
            </w:tcBorders>
            <w:shd w:val="clear" w:color="auto" w:fill="FFFFFF"/>
            <w:vAlign w:val="center"/>
          </w:tcPr>
          <w:p w14:paraId="536D15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行人二次过街安全岛座数</w:t>
            </w:r>
          </w:p>
        </w:tc>
        <w:tc>
          <w:tcPr>
            <w:tcW w:w="1030" w:type="dxa"/>
            <w:tcBorders>
              <w:top w:val="single" w:color="auto" w:sz="4" w:space="0"/>
              <w:left w:val="single" w:color="auto" w:sz="4" w:space="0"/>
              <w:bottom w:val="single" w:color="auto" w:sz="4" w:space="0"/>
              <w:right w:val="single" w:color="auto" w:sz="4" w:space="0"/>
            </w:tcBorders>
            <w:shd w:val="clear" w:color="auto" w:fill="FFFFFF"/>
            <w:vAlign w:val="center"/>
          </w:tcPr>
          <w:p w14:paraId="6F77AE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354" w:type="dxa"/>
            <w:tcBorders>
              <w:top w:val="single" w:color="auto" w:sz="4" w:space="0"/>
              <w:left w:val="single" w:color="auto" w:sz="4" w:space="0"/>
              <w:bottom w:val="single" w:color="auto" w:sz="4" w:space="0"/>
              <w:right w:val="single" w:color="auto" w:sz="4" w:space="0"/>
            </w:tcBorders>
            <w:shd w:val="clear" w:color="auto" w:fill="FFFFFF"/>
            <w:vAlign w:val="center"/>
          </w:tcPr>
          <w:p w14:paraId="1E9966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6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926FC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座</w:t>
            </w:r>
          </w:p>
        </w:tc>
        <w:tc>
          <w:tcPr>
            <w:tcW w:w="2161" w:type="dxa"/>
            <w:tcBorders>
              <w:top w:val="single" w:color="auto" w:sz="4" w:space="0"/>
              <w:left w:val="single" w:color="auto" w:sz="4" w:space="0"/>
              <w:bottom w:val="single" w:color="auto" w:sz="4" w:space="0"/>
              <w:right w:val="single" w:color="auto" w:sz="4" w:space="0"/>
            </w:tcBorders>
            <w:shd w:val="clear" w:color="auto" w:fill="FFFFFF"/>
            <w:vAlign w:val="center"/>
          </w:tcPr>
          <w:p w14:paraId="5FF7DAB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反映完成行人二次过街安全岛建设情况</w:t>
            </w:r>
          </w:p>
        </w:tc>
        <w:tc>
          <w:tcPr>
            <w:tcW w:w="3437" w:type="dxa"/>
            <w:tcBorders>
              <w:top w:val="single" w:color="auto" w:sz="4" w:space="0"/>
              <w:left w:val="single" w:color="auto" w:sz="4" w:space="0"/>
              <w:bottom w:val="single" w:color="auto" w:sz="4" w:space="0"/>
              <w:right w:val="single" w:color="auto" w:sz="4" w:space="0"/>
            </w:tcBorders>
            <w:shd w:val="clear" w:color="auto" w:fill="FFFFFF"/>
            <w:vAlign w:val="center"/>
          </w:tcPr>
          <w:p w14:paraId="5992B85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行人二次过街安全岛座数≥2座，得满分。否则不得分。</w:t>
            </w:r>
          </w:p>
        </w:tc>
      </w:tr>
      <w:tr w14:paraId="476EA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743" w:type="dxa"/>
            <w:vMerge w:val="continue"/>
            <w:tcBorders>
              <w:left w:val="single" w:color="auto" w:sz="4" w:space="0"/>
              <w:bottom w:val="single" w:color="auto" w:sz="4" w:space="0"/>
              <w:right w:val="single" w:color="auto" w:sz="4" w:space="0"/>
            </w:tcBorders>
            <w:shd w:val="clear" w:color="auto" w:fill="auto"/>
            <w:vAlign w:val="center"/>
          </w:tcPr>
          <w:p w14:paraId="2D47D8AE">
            <w:pPr>
              <w:jc w:val="center"/>
              <w:rPr>
                <w:rFonts w:hint="eastAsia" w:ascii="宋体" w:hAnsi="宋体" w:eastAsia="宋体" w:cs="宋体"/>
                <w:b/>
                <w:bCs/>
                <w:i w:val="0"/>
                <w:iCs w:val="0"/>
                <w:color w:val="000000"/>
                <w:sz w:val="20"/>
                <w:szCs w:val="20"/>
                <w:u w:val="none"/>
              </w:rPr>
            </w:pPr>
          </w:p>
        </w:tc>
        <w:tc>
          <w:tcPr>
            <w:tcW w:w="1392" w:type="dxa"/>
            <w:tcBorders>
              <w:top w:val="single" w:color="auto" w:sz="4" w:space="0"/>
              <w:left w:val="single" w:color="auto" w:sz="4" w:space="0"/>
              <w:bottom w:val="single" w:color="auto" w:sz="4" w:space="0"/>
              <w:right w:val="single" w:color="auto" w:sz="4" w:space="0"/>
            </w:tcBorders>
            <w:shd w:val="clear" w:color="auto" w:fill="FFFFFF"/>
            <w:vAlign w:val="center"/>
          </w:tcPr>
          <w:p w14:paraId="22F11B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质量指标</w:t>
            </w:r>
          </w:p>
        </w:tc>
        <w:tc>
          <w:tcPr>
            <w:tcW w:w="2537" w:type="dxa"/>
            <w:tcBorders>
              <w:top w:val="single" w:color="auto" w:sz="4" w:space="0"/>
              <w:left w:val="single" w:color="auto" w:sz="4" w:space="0"/>
              <w:bottom w:val="single" w:color="auto" w:sz="4" w:space="0"/>
              <w:right w:val="single" w:color="auto" w:sz="4" w:space="0"/>
            </w:tcBorders>
            <w:shd w:val="clear" w:color="auto" w:fill="FFFFFF"/>
            <w:vAlign w:val="center"/>
          </w:tcPr>
          <w:p w14:paraId="1F074E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设施设备验收合格率</w:t>
            </w:r>
          </w:p>
        </w:tc>
        <w:tc>
          <w:tcPr>
            <w:tcW w:w="1030" w:type="dxa"/>
            <w:tcBorders>
              <w:top w:val="single" w:color="auto" w:sz="4" w:space="0"/>
              <w:left w:val="single" w:color="auto" w:sz="4" w:space="0"/>
              <w:bottom w:val="single" w:color="auto" w:sz="4" w:space="0"/>
              <w:right w:val="single" w:color="auto" w:sz="4" w:space="0"/>
            </w:tcBorders>
            <w:shd w:val="clear" w:color="auto" w:fill="FFFFFF"/>
            <w:vAlign w:val="center"/>
          </w:tcPr>
          <w:p w14:paraId="66224D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354" w:type="dxa"/>
            <w:tcBorders>
              <w:top w:val="single" w:color="auto" w:sz="4" w:space="0"/>
              <w:left w:val="single" w:color="auto" w:sz="4" w:space="0"/>
              <w:bottom w:val="single" w:color="auto" w:sz="4" w:space="0"/>
              <w:right w:val="single" w:color="auto" w:sz="4" w:space="0"/>
            </w:tcBorders>
            <w:shd w:val="clear" w:color="auto" w:fill="FFFFFF"/>
            <w:vAlign w:val="center"/>
          </w:tcPr>
          <w:p w14:paraId="7A6C2B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w:t>
            </w:r>
          </w:p>
        </w:tc>
        <w:tc>
          <w:tcPr>
            <w:tcW w:w="136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528AA5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2161" w:type="dxa"/>
            <w:tcBorders>
              <w:top w:val="single" w:color="auto" w:sz="4" w:space="0"/>
              <w:left w:val="single" w:color="auto" w:sz="4" w:space="0"/>
              <w:bottom w:val="single" w:color="auto" w:sz="4" w:space="0"/>
              <w:right w:val="single" w:color="auto" w:sz="4" w:space="0"/>
            </w:tcBorders>
            <w:shd w:val="clear" w:color="auto" w:fill="FFFFFF"/>
            <w:vAlign w:val="center"/>
          </w:tcPr>
          <w:p w14:paraId="63730A6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反映购买的设施设备验收合格情况</w:t>
            </w:r>
          </w:p>
        </w:tc>
        <w:tc>
          <w:tcPr>
            <w:tcW w:w="3437" w:type="dxa"/>
            <w:tcBorders>
              <w:top w:val="single" w:color="auto" w:sz="4" w:space="0"/>
              <w:left w:val="single" w:color="auto" w:sz="4" w:space="0"/>
              <w:bottom w:val="single" w:color="auto" w:sz="4" w:space="0"/>
              <w:right w:val="single" w:color="auto" w:sz="4" w:space="0"/>
            </w:tcBorders>
            <w:shd w:val="clear" w:color="auto" w:fill="FFFFFF"/>
            <w:vAlign w:val="center"/>
          </w:tcPr>
          <w:p w14:paraId="085C8DC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评分标准：设施设备验收合格率≥95%，得满分，否则不得分。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设施设备验收合格率=通过验收设施设备数/总购买设施设备数</w:t>
            </w:r>
          </w:p>
        </w:tc>
      </w:tr>
      <w:tr w14:paraId="19935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2" w:hRule="atLeast"/>
          <w:jc w:val="center"/>
        </w:trPr>
        <w:tc>
          <w:tcPr>
            <w:tcW w:w="17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957C5E6">
            <w:pPr>
              <w:jc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产出指标</w:t>
            </w:r>
          </w:p>
        </w:tc>
        <w:tc>
          <w:tcPr>
            <w:tcW w:w="1392" w:type="dxa"/>
            <w:tcBorders>
              <w:top w:val="single" w:color="auto" w:sz="4" w:space="0"/>
              <w:left w:val="single" w:color="auto" w:sz="4" w:space="0"/>
              <w:bottom w:val="single" w:color="auto" w:sz="4" w:space="0"/>
              <w:right w:val="single" w:color="auto" w:sz="4" w:space="0"/>
            </w:tcBorders>
            <w:shd w:val="clear" w:color="auto" w:fill="FFFFFF"/>
            <w:vAlign w:val="center"/>
          </w:tcPr>
          <w:p w14:paraId="02835D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时效指标</w:t>
            </w:r>
          </w:p>
        </w:tc>
        <w:tc>
          <w:tcPr>
            <w:tcW w:w="253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7330F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项目竣工及时率</w:t>
            </w:r>
          </w:p>
        </w:tc>
        <w:tc>
          <w:tcPr>
            <w:tcW w:w="1030" w:type="dxa"/>
            <w:tcBorders>
              <w:top w:val="single" w:color="auto" w:sz="4" w:space="0"/>
              <w:left w:val="single" w:color="auto" w:sz="4" w:space="0"/>
              <w:bottom w:val="single" w:color="auto" w:sz="4" w:space="0"/>
              <w:right w:val="single" w:color="auto" w:sz="4" w:space="0"/>
            </w:tcBorders>
            <w:shd w:val="clear" w:color="auto" w:fill="FFFFFF"/>
            <w:vAlign w:val="center"/>
          </w:tcPr>
          <w:p w14:paraId="729E62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354" w:type="dxa"/>
            <w:tcBorders>
              <w:top w:val="single" w:color="auto" w:sz="4" w:space="0"/>
              <w:left w:val="single" w:color="auto" w:sz="4" w:space="0"/>
              <w:bottom w:val="single" w:color="auto" w:sz="4" w:space="0"/>
              <w:right w:val="single" w:color="auto" w:sz="4" w:space="0"/>
            </w:tcBorders>
            <w:shd w:val="clear" w:color="auto" w:fill="FFFFFF"/>
            <w:vAlign w:val="center"/>
          </w:tcPr>
          <w:p w14:paraId="4FE150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36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572C6C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2161" w:type="dxa"/>
            <w:tcBorders>
              <w:top w:val="single" w:color="auto" w:sz="4" w:space="0"/>
              <w:left w:val="single" w:color="auto" w:sz="4" w:space="0"/>
              <w:bottom w:val="single" w:color="auto" w:sz="4" w:space="0"/>
              <w:right w:val="single" w:color="auto" w:sz="4" w:space="0"/>
            </w:tcBorders>
            <w:shd w:val="clear" w:color="auto" w:fill="FFFFFF"/>
            <w:vAlign w:val="center"/>
          </w:tcPr>
          <w:p w14:paraId="34993B8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反映项目竣工及时情况</w:t>
            </w:r>
          </w:p>
        </w:tc>
        <w:tc>
          <w:tcPr>
            <w:tcW w:w="3437" w:type="dxa"/>
            <w:tcBorders>
              <w:top w:val="single" w:color="auto" w:sz="4" w:space="0"/>
              <w:left w:val="single" w:color="auto" w:sz="4" w:space="0"/>
              <w:bottom w:val="single" w:color="auto" w:sz="4" w:space="0"/>
              <w:right w:val="single" w:color="auto" w:sz="4" w:space="0"/>
            </w:tcBorders>
            <w:shd w:val="clear" w:color="auto" w:fill="FFFFFF"/>
            <w:vAlign w:val="center"/>
          </w:tcPr>
          <w:p w14:paraId="71166E7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评分标准：项目竣工及时率≥100%，得满分，否则不得分。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项目竣工及时率=及时竣工验收项目点数/总的项目点数</w:t>
            </w:r>
          </w:p>
        </w:tc>
      </w:tr>
      <w:tr w14:paraId="52A8D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1" w:hRule="atLeast"/>
          <w:jc w:val="center"/>
        </w:trPr>
        <w:tc>
          <w:tcPr>
            <w:tcW w:w="17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D63EBA9">
            <w:pPr>
              <w:jc w:val="center"/>
              <w:rPr>
                <w:rFonts w:hint="eastAsia" w:ascii="宋体" w:hAnsi="宋体" w:eastAsia="宋体" w:cs="宋体"/>
                <w:b/>
                <w:bCs/>
                <w:i w:val="0"/>
                <w:iCs w:val="0"/>
                <w:color w:val="000000"/>
                <w:sz w:val="20"/>
                <w:szCs w:val="20"/>
                <w:u w:val="none"/>
              </w:rPr>
            </w:pPr>
          </w:p>
        </w:tc>
        <w:tc>
          <w:tcPr>
            <w:tcW w:w="1392"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66F2FE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成本指标</w:t>
            </w:r>
          </w:p>
        </w:tc>
        <w:tc>
          <w:tcPr>
            <w:tcW w:w="2537" w:type="dxa"/>
            <w:tcBorders>
              <w:top w:val="single" w:color="auto" w:sz="4" w:space="0"/>
              <w:left w:val="single" w:color="auto" w:sz="4" w:space="0"/>
              <w:bottom w:val="single" w:color="auto" w:sz="4" w:space="0"/>
              <w:right w:val="single" w:color="auto" w:sz="4" w:space="0"/>
            </w:tcBorders>
            <w:shd w:val="clear" w:color="auto" w:fill="FFFFFF"/>
            <w:vAlign w:val="center"/>
          </w:tcPr>
          <w:p w14:paraId="7A614D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项目或定额成本控制率</w:t>
            </w:r>
          </w:p>
        </w:tc>
        <w:tc>
          <w:tcPr>
            <w:tcW w:w="1030" w:type="dxa"/>
            <w:tcBorders>
              <w:top w:val="single" w:color="auto" w:sz="4" w:space="0"/>
              <w:left w:val="single" w:color="auto" w:sz="4" w:space="0"/>
              <w:bottom w:val="single" w:color="auto" w:sz="4" w:space="0"/>
              <w:right w:val="single" w:color="auto" w:sz="4" w:space="0"/>
            </w:tcBorders>
            <w:shd w:val="clear" w:color="auto" w:fill="FFFFFF"/>
            <w:vAlign w:val="center"/>
          </w:tcPr>
          <w:p w14:paraId="1920A3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354" w:type="dxa"/>
            <w:tcBorders>
              <w:top w:val="single" w:color="auto" w:sz="4" w:space="0"/>
              <w:left w:val="single" w:color="auto" w:sz="4" w:space="0"/>
              <w:bottom w:val="single" w:color="auto" w:sz="4" w:space="0"/>
              <w:right w:val="single" w:color="auto" w:sz="4" w:space="0"/>
            </w:tcBorders>
            <w:shd w:val="clear" w:color="auto" w:fill="FFFFFF"/>
            <w:vAlign w:val="center"/>
          </w:tcPr>
          <w:p w14:paraId="5530EF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36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CD676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2161" w:type="dxa"/>
            <w:tcBorders>
              <w:top w:val="single" w:color="auto" w:sz="4" w:space="0"/>
              <w:left w:val="single" w:color="auto" w:sz="4" w:space="0"/>
              <w:bottom w:val="single" w:color="auto" w:sz="4" w:space="0"/>
              <w:right w:val="single" w:color="auto" w:sz="4" w:space="0"/>
            </w:tcBorders>
            <w:shd w:val="clear" w:color="auto" w:fill="FFFFFF"/>
            <w:vAlign w:val="center"/>
          </w:tcPr>
          <w:p w14:paraId="2E9A0EB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反映本项目总成本控制情况</w:t>
            </w:r>
          </w:p>
        </w:tc>
        <w:tc>
          <w:tcPr>
            <w:tcW w:w="3437" w:type="dxa"/>
            <w:tcBorders>
              <w:top w:val="single" w:color="auto" w:sz="4" w:space="0"/>
              <w:left w:val="single" w:color="auto" w:sz="4" w:space="0"/>
              <w:bottom w:val="single" w:color="auto" w:sz="4" w:space="0"/>
              <w:right w:val="single" w:color="auto" w:sz="4" w:space="0"/>
            </w:tcBorders>
            <w:shd w:val="clear" w:color="auto" w:fill="FFFFFF"/>
            <w:vAlign w:val="center"/>
          </w:tcPr>
          <w:p w14:paraId="31783B6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评分标准：定额成本控制率≤100%，得满分，否则不得分。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定额成本控制率=本项目年度执行数/本项目总预算数</w:t>
            </w:r>
            <w:r>
              <w:rPr>
                <w:rFonts w:hint="eastAsia" w:ascii="宋体" w:hAnsi="宋体" w:cs="宋体"/>
                <w:i w:val="0"/>
                <w:iCs w:val="0"/>
                <w:color w:val="000000"/>
                <w:kern w:val="0"/>
                <w:sz w:val="20"/>
                <w:szCs w:val="20"/>
                <w:u w:val="none"/>
                <w:lang w:val="en-US" w:eastAsia="zh-CN" w:bidi="ar"/>
              </w:rPr>
              <w:t>。</w:t>
            </w:r>
          </w:p>
        </w:tc>
      </w:tr>
      <w:tr w14:paraId="06B76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7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F27D08B">
            <w:pPr>
              <w:jc w:val="center"/>
              <w:rPr>
                <w:rFonts w:hint="eastAsia" w:ascii="宋体" w:hAnsi="宋体" w:eastAsia="宋体" w:cs="宋体"/>
                <w:b/>
                <w:bCs/>
                <w:i w:val="0"/>
                <w:iCs w:val="0"/>
                <w:color w:val="000000"/>
                <w:sz w:val="20"/>
                <w:szCs w:val="20"/>
                <w:u w:val="none"/>
              </w:rPr>
            </w:pPr>
          </w:p>
        </w:tc>
        <w:tc>
          <w:tcPr>
            <w:tcW w:w="139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2D87B10">
            <w:pPr>
              <w:jc w:val="center"/>
              <w:rPr>
                <w:rFonts w:hint="eastAsia" w:ascii="宋体" w:hAnsi="宋体" w:eastAsia="宋体" w:cs="宋体"/>
                <w:i w:val="0"/>
                <w:iCs w:val="0"/>
                <w:color w:val="000000"/>
                <w:sz w:val="22"/>
                <w:szCs w:val="22"/>
                <w:u w:val="none"/>
              </w:rPr>
            </w:pPr>
          </w:p>
        </w:tc>
        <w:tc>
          <w:tcPr>
            <w:tcW w:w="2537" w:type="dxa"/>
            <w:tcBorders>
              <w:top w:val="single" w:color="auto" w:sz="4" w:space="0"/>
              <w:left w:val="single" w:color="auto" w:sz="4" w:space="0"/>
              <w:bottom w:val="single" w:color="auto" w:sz="4" w:space="0"/>
              <w:right w:val="single" w:color="auto" w:sz="4" w:space="0"/>
            </w:tcBorders>
            <w:shd w:val="clear" w:color="auto" w:fill="FFFFFF"/>
            <w:vAlign w:val="center"/>
          </w:tcPr>
          <w:p w14:paraId="1BACA8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施画标线费用标准</w:t>
            </w:r>
          </w:p>
        </w:tc>
        <w:tc>
          <w:tcPr>
            <w:tcW w:w="1030" w:type="dxa"/>
            <w:tcBorders>
              <w:top w:val="single" w:color="auto" w:sz="4" w:space="0"/>
              <w:left w:val="single" w:color="auto" w:sz="4" w:space="0"/>
              <w:bottom w:val="single" w:color="auto" w:sz="4" w:space="0"/>
              <w:right w:val="single" w:color="auto" w:sz="4" w:space="0"/>
            </w:tcBorders>
            <w:shd w:val="clear" w:color="auto" w:fill="FFFFFF"/>
            <w:vAlign w:val="center"/>
          </w:tcPr>
          <w:p w14:paraId="26CA97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354" w:type="dxa"/>
            <w:tcBorders>
              <w:top w:val="single" w:color="auto" w:sz="4" w:space="0"/>
              <w:left w:val="single" w:color="auto" w:sz="4" w:space="0"/>
              <w:bottom w:val="single" w:color="auto" w:sz="4" w:space="0"/>
              <w:right w:val="single" w:color="auto" w:sz="4" w:space="0"/>
            </w:tcBorders>
            <w:shd w:val="clear" w:color="auto" w:fill="FFFFFF"/>
            <w:vAlign w:val="center"/>
          </w:tcPr>
          <w:p w14:paraId="7EE8EDDE">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64</w:t>
            </w:r>
          </w:p>
        </w:tc>
        <w:tc>
          <w:tcPr>
            <w:tcW w:w="136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4D427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元/平方</w:t>
            </w:r>
            <w:r>
              <w:rPr>
                <w:rFonts w:hint="eastAsia" w:ascii="宋体" w:hAnsi="宋体" w:cs="宋体"/>
                <w:i w:val="0"/>
                <w:iCs w:val="0"/>
                <w:color w:val="000000"/>
                <w:kern w:val="0"/>
                <w:sz w:val="22"/>
                <w:szCs w:val="22"/>
                <w:u w:val="none"/>
                <w:lang w:val="en-US" w:eastAsia="zh-CN" w:bidi="ar"/>
              </w:rPr>
              <w:t>米</w:t>
            </w:r>
          </w:p>
        </w:tc>
        <w:tc>
          <w:tcPr>
            <w:tcW w:w="2161" w:type="dxa"/>
            <w:tcBorders>
              <w:top w:val="single" w:color="auto" w:sz="4" w:space="0"/>
              <w:left w:val="single" w:color="auto" w:sz="4" w:space="0"/>
              <w:bottom w:val="single" w:color="auto" w:sz="4" w:space="0"/>
              <w:right w:val="single" w:color="auto" w:sz="4" w:space="0"/>
            </w:tcBorders>
            <w:shd w:val="clear" w:color="auto" w:fill="FFFFFF"/>
            <w:vAlign w:val="center"/>
          </w:tcPr>
          <w:p w14:paraId="413669D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反映每平方米施画标线费用情况</w:t>
            </w:r>
          </w:p>
        </w:tc>
        <w:tc>
          <w:tcPr>
            <w:tcW w:w="3437" w:type="dxa"/>
            <w:tcBorders>
              <w:top w:val="single" w:color="auto" w:sz="4" w:space="0"/>
              <w:left w:val="single" w:color="auto" w:sz="4" w:space="0"/>
              <w:bottom w:val="single" w:color="auto" w:sz="4" w:space="0"/>
              <w:right w:val="single" w:color="auto" w:sz="4" w:space="0"/>
            </w:tcBorders>
            <w:shd w:val="clear" w:color="auto" w:fill="FFFFFF"/>
            <w:vAlign w:val="center"/>
          </w:tcPr>
          <w:p w14:paraId="3998A4B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施画标线费用标准≤64元/平方米</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得满分，否则不得分</w:t>
            </w:r>
            <w:r>
              <w:rPr>
                <w:rFonts w:hint="eastAsia" w:ascii="宋体" w:hAnsi="宋体" w:cs="宋体"/>
                <w:i w:val="0"/>
                <w:iCs w:val="0"/>
                <w:color w:val="000000"/>
                <w:kern w:val="0"/>
                <w:sz w:val="20"/>
                <w:szCs w:val="20"/>
                <w:u w:val="none"/>
                <w:lang w:val="en-US" w:eastAsia="zh-CN" w:bidi="ar"/>
              </w:rPr>
              <w:t>。</w:t>
            </w:r>
          </w:p>
        </w:tc>
      </w:tr>
      <w:tr w14:paraId="05B41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7" w:hRule="atLeast"/>
          <w:jc w:val="center"/>
        </w:trPr>
        <w:tc>
          <w:tcPr>
            <w:tcW w:w="17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6C55FD">
            <w:pPr>
              <w:jc w:val="center"/>
              <w:rPr>
                <w:rFonts w:hint="eastAsia" w:ascii="宋体" w:hAnsi="宋体" w:eastAsia="宋体" w:cs="宋体"/>
                <w:b/>
                <w:bCs/>
                <w:i w:val="0"/>
                <w:iCs w:val="0"/>
                <w:color w:val="000000"/>
                <w:sz w:val="20"/>
                <w:szCs w:val="20"/>
                <w:u w:val="none"/>
              </w:rPr>
            </w:pPr>
          </w:p>
        </w:tc>
        <w:tc>
          <w:tcPr>
            <w:tcW w:w="139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6C67A1F">
            <w:pPr>
              <w:jc w:val="center"/>
              <w:rPr>
                <w:rFonts w:hint="eastAsia" w:ascii="宋体" w:hAnsi="宋体" w:eastAsia="宋体" w:cs="宋体"/>
                <w:i w:val="0"/>
                <w:iCs w:val="0"/>
                <w:color w:val="000000"/>
                <w:sz w:val="22"/>
                <w:szCs w:val="22"/>
                <w:u w:val="none"/>
              </w:rPr>
            </w:pPr>
          </w:p>
        </w:tc>
        <w:tc>
          <w:tcPr>
            <w:tcW w:w="2537" w:type="dxa"/>
            <w:tcBorders>
              <w:top w:val="single" w:color="auto" w:sz="4" w:space="0"/>
              <w:left w:val="single" w:color="auto" w:sz="4" w:space="0"/>
              <w:bottom w:val="single" w:color="auto" w:sz="4" w:space="0"/>
              <w:right w:val="single" w:color="auto" w:sz="4" w:space="0"/>
            </w:tcBorders>
            <w:shd w:val="clear" w:color="auto" w:fill="FFFFFF"/>
            <w:vAlign w:val="center"/>
          </w:tcPr>
          <w:p w14:paraId="4BBD18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清除标线费用标准</w:t>
            </w:r>
          </w:p>
        </w:tc>
        <w:tc>
          <w:tcPr>
            <w:tcW w:w="1030" w:type="dxa"/>
            <w:tcBorders>
              <w:top w:val="single" w:color="auto" w:sz="4" w:space="0"/>
              <w:left w:val="single" w:color="auto" w:sz="4" w:space="0"/>
              <w:bottom w:val="single" w:color="auto" w:sz="4" w:space="0"/>
              <w:right w:val="single" w:color="auto" w:sz="4" w:space="0"/>
            </w:tcBorders>
            <w:shd w:val="clear" w:color="auto" w:fill="FFFFFF"/>
            <w:vAlign w:val="center"/>
          </w:tcPr>
          <w:p w14:paraId="5E498B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354" w:type="dxa"/>
            <w:tcBorders>
              <w:top w:val="single" w:color="auto" w:sz="4" w:space="0"/>
              <w:left w:val="single" w:color="auto" w:sz="4" w:space="0"/>
              <w:bottom w:val="single" w:color="auto" w:sz="4" w:space="0"/>
              <w:right w:val="single" w:color="auto" w:sz="4" w:space="0"/>
            </w:tcBorders>
            <w:shd w:val="clear" w:color="auto" w:fill="FFFFFF"/>
            <w:vAlign w:val="center"/>
          </w:tcPr>
          <w:p w14:paraId="001A5B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41</w:t>
            </w:r>
            <w:r>
              <w:rPr>
                <w:rFonts w:hint="eastAsia" w:ascii="宋体" w:hAnsi="宋体" w:eastAsia="宋体" w:cs="宋体"/>
                <w:i w:val="0"/>
                <w:iCs w:val="0"/>
                <w:color w:val="000000"/>
                <w:kern w:val="0"/>
                <w:sz w:val="20"/>
                <w:szCs w:val="20"/>
                <w:u w:val="none"/>
                <w:lang w:val="en-US" w:eastAsia="zh-CN" w:bidi="ar"/>
              </w:rPr>
              <w:t>元</w:t>
            </w:r>
          </w:p>
        </w:tc>
        <w:tc>
          <w:tcPr>
            <w:tcW w:w="136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5356F1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元/平方</w:t>
            </w:r>
            <w:r>
              <w:rPr>
                <w:rFonts w:hint="eastAsia" w:ascii="宋体" w:hAnsi="宋体" w:cs="宋体"/>
                <w:i w:val="0"/>
                <w:iCs w:val="0"/>
                <w:color w:val="000000"/>
                <w:kern w:val="0"/>
                <w:sz w:val="22"/>
                <w:szCs w:val="22"/>
                <w:u w:val="none"/>
                <w:lang w:val="en-US" w:eastAsia="zh-CN" w:bidi="ar"/>
              </w:rPr>
              <w:t>米</w:t>
            </w:r>
          </w:p>
        </w:tc>
        <w:tc>
          <w:tcPr>
            <w:tcW w:w="2161" w:type="dxa"/>
            <w:tcBorders>
              <w:top w:val="single" w:color="auto" w:sz="4" w:space="0"/>
              <w:left w:val="single" w:color="auto" w:sz="4" w:space="0"/>
              <w:bottom w:val="single" w:color="auto" w:sz="4" w:space="0"/>
              <w:right w:val="single" w:color="auto" w:sz="4" w:space="0"/>
            </w:tcBorders>
            <w:shd w:val="clear" w:color="auto" w:fill="FFFFFF"/>
            <w:vAlign w:val="center"/>
          </w:tcPr>
          <w:p w14:paraId="41FDB28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反映每平方米清除标线费用情况</w:t>
            </w:r>
          </w:p>
        </w:tc>
        <w:tc>
          <w:tcPr>
            <w:tcW w:w="3437" w:type="dxa"/>
            <w:tcBorders>
              <w:top w:val="single" w:color="auto" w:sz="4" w:space="0"/>
              <w:left w:val="single" w:color="auto" w:sz="4" w:space="0"/>
              <w:bottom w:val="single" w:color="auto" w:sz="4" w:space="0"/>
              <w:right w:val="single" w:color="auto" w:sz="4" w:space="0"/>
            </w:tcBorders>
            <w:shd w:val="clear" w:color="auto" w:fill="FFFFFF"/>
            <w:vAlign w:val="center"/>
          </w:tcPr>
          <w:p w14:paraId="1CD11D8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清除标线费用标准≤41元/平方米</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得满分，否则不得分</w:t>
            </w:r>
            <w:r>
              <w:rPr>
                <w:rFonts w:hint="eastAsia" w:ascii="宋体" w:hAnsi="宋体" w:cs="宋体"/>
                <w:i w:val="0"/>
                <w:iCs w:val="0"/>
                <w:color w:val="000000"/>
                <w:kern w:val="0"/>
                <w:sz w:val="20"/>
                <w:szCs w:val="20"/>
                <w:u w:val="none"/>
                <w:lang w:val="en-US" w:eastAsia="zh-CN" w:bidi="ar"/>
              </w:rPr>
              <w:t>。</w:t>
            </w:r>
          </w:p>
        </w:tc>
      </w:tr>
      <w:tr w14:paraId="4A347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2" w:hRule="atLeast"/>
          <w:jc w:val="center"/>
        </w:trPr>
        <w:tc>
          <w:tcPr>
            <w:tcW w:w="17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3341C50">
            <w:pPr>
              <w:jc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产出指标</w:t>
            </w:r>
          </w:p>
        </w:tc>
        <w:tc>
          <w:tcPr>
            <w:tcW w:w="1392"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5443BFFD">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成本指标</w:t>
            </w:r>
          </w:p>
        </w:tc>
        <w:tc>
          <w:tcPr>
            <w:tcW w:w="2537" w:type="dxa"/>
            <w:tcBorders>
              <w:top w:val="single" w:color="auto" w:sz="4" w:space="0"/>
              <w:left w:val="single" w:color="auto" w:sz="4" w:space="0"/>
              <w:bottom w:val="single" w:color="auto" w:sz="4" w:space="0"/>
              <w:right w:val="single" w:color="auto" w:sz="4" w:space="0"/>
            </w:tcBorders>
            <w:shd w:val="clear" w:color="auto" w:fill="FFFFFF"/>
            <w:vAlign w:val="center"/>
          </w:tcPr>
          <w:p w14:paraId="3BBC4B9C">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安装道路指示牌费用标准</w:t>
            </w:r>
          </w:p>
        </w:tc>
        <w:tc>
          <w:tcPr>
            <w:tcW w:w="1030" w:type="dxa"/>
            <w:tcBorders>
              <w:top w:val="single" w:color="auto" w:sz="4" w:space="0"/>
              <w:left w:val="single" w:color="auto" w:sz="4" w:space="0"/>
              <w:bottom w:val="single" w:color="auto" w:sz="4" w:space="0"/>
              <w:right w:val="single" w:color="auto" w:sz="4" w:space="0"/>
            </w:tcBorders>
            <w:shd w:val="clear" w:color="auto" w:fill="FFFFFF"/>
            <w:vAlign w:val="center"/>
          </w:tcPr>
          <w:p w14:paraId="76287F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354" w:type="dxa"/>
            <w:tcBorders>
              <w:top w:val="single" w:color="auto" w:sz="4" w:space="0"/>
              <w:left w:val="single" w:color="auto" w:sz="4" w:space="0"/>
              <w:bottom w:val="single" w:color="auto" w:sz="4" w:space="0"/>
              <w:right w:val="single" w:color="auto" w:sz="4" w:space="0"/>
            </w:tcBorders>
            <w:shd w:val="clear" w:color="auto" w:fill="FFFFFF"/>
            <w:vAlign w:val="center"/>
          </w:tcPr>
          <w:p w14:paraId="7D5E686C">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954</w:t>
            </w:r>
          </w:p>
        </w:tc>
        <w:tc>
          <w:tcPr>
            <w:tcW w:w="136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239CD50">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元/平方</w:t>
            </w:r>
            <w:r>
              <w:rPr>
                <w:rFonts w:hint="eastAsia" w:ascii="宋体" w:hAnsi="宋体" w:cs="宋体"/>
                <w:i w:val="0"/>
                <w:iCs w:val="0"/>
                <w:color w:val="000000"/>
                <w:kern w:val="0"/>
                <w:sz w:val="22"/>
                <w:szCs w:val="22"/>
                <w:u w:val="none"/>
                <w:lang w:val="en-US" w:eastAsia="zh-CN" w:bidi="ar"/>
              </w:rPr>
              <w:t>米</w:t>
            </w:r>
          </w:p>
        </w:tc>
        <w:tc>
          <w:tcPr>
            <w:tcW w:w="2161" w:type="dxa"/>
            <w:tcBorders>
              <w:top w:val="single" w:color="auto" w:sz="4" w:space="0"/>
              <w:left w:val="single" w:color="auto" w:sz="4" w:space="0"/>
              <w:bottom w:val="single" w:color="auto" w:sz="4" w:space="0"/>
              <w:right w:val="single" w:color="auto" w:sz="4" w:space="0"/>
            </w:tcBorders>
            <w:shd w:val="clear" w:color="auto" w:fill="FFFFFF"/>
            <w:vAlign w:val="center"/>
          </w:tcPr>
          <w:p w14:paraId="4185606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反映安装每块道路指示牌费用情况</w:t>
            </w:r>
          </w:p>
        </w:tc>
        <w:tc>
          <w:tcPr>
            <w:tcW w:w="3437" w:type="dxa"/>
            <w:tcBorders>
              <w:top w:val="single" w:color="auto" w:sz="4" w:space="0"/>
              <w:left w:val="single" w:color="auto" w:sz="4" w:space="0"/>
              <w:bottom w:val="single" w:color="auto" w:sz="4" w:space="0"/>
              <w:right w:val="single" w:color="auto" w:sz="4" w:space="0"/>
            </w:tcBorders>
            <w:shd w:val="clear" w:color="auto" w:fill="FFFFFF"/>
            <w:vAlign w:val="center"/>
          </w:tcPr>
          <w:p w14:paraId="010CBFE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安装道路指示牌费用标准≤954元/平方米,得满分，否则不得分</w:t>
            </w:r>
            <w:r>
              <w:rPr>
                <w:rFonts w:hint="eastAsia" w:ascii="宋体" w:hAnsi="宋体" w:cs="宋体"/>
                <w:i w:val="0"/>
                <w:iCs w:val="0"/>
                <w:color w:val="000000"/>
                <w:kern w:val="0"/>
                <w:sz w:val="20"/>
                <w:szCs w:val="20"/>
                <w:u w:val="none"/>
                <w:lang w:val="en-US" w:eastAsia="zh-CN" w:bidi="ar"/>
              </w:rPr>
              <w:t>。</w:t>
            </w:r>
          </w:p>
        </w:tc>
      </w:tr>
      <w:tr w14:paraId="51BA1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8" w:hRule="atLeast"/>
          <w:jc w:val="center"/>
        </w:trPr>
        <w:tc>
          <w:tcPr>
            <w:tcW w:w="17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0DED72E">
            <w:pPr>
              <w:jc w:val="center"/>
              <w:rPr>
                <w:rFonts w:hint="eastAsia" w:ascii="宋体" w:hAnsi="宋体" w:eastAsia="宋体" w:cs="宋体"/>
                <w:b/>
                <w:bCs/>
                <w:i w:val="0"/>
                <w:iCs w:val="0"/>
                <w:color w:val="000000"/>
                <w:sz w:val="20"/>
                <w:szCs w:val="20"/>
                <w:u w:val="none"/>
              </w:rPr>
            </w:pPr>
          </w:p>
        </w:tc>
        <w:tc>
          <w:tcPr>
            <w:tcW w:w="139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1D7085D9">
            <w:pPr>
              <w:jc w:val="center"/>
              <w:rPr>
                <w:rFonts w:hint="eastAsia" w:ascii="宋体" w:hAnsi="宋体" w:eastAsia="宋体" w:cs="宋体"/>
                <w:i w:val="0"/>
                <w:iCs w:val="0"/>
                <w:color w:val="000000"/>
                <w:sz w:val="22"/>
                <w:szCs w:val="22"/>
                <w:u w:val="none"/>
              </w:rPr>
            </w:pPr>
          </w:p>
        </w:tc>
        <w:tc>
          <w:tcPr>
            <w:tcW w:w="2537" w:type="dxa"/>
            <w:tcBorders>
              <w:top w:val="single" w:color="auto" w:sz="4" w:space="0"/>
              <w:left w:val="single" w:color="auto" w:sz="4" w:space="0"/>
              <w:bottom w:val="single" w:color="auto" w:sz="4" w:space="0"/>
              <w:right w:val="single" w:color="auto" w:sz="4" w:space="0"/>
            </w:tcBorders>
            <w:shd w:val="clear" w:color="auto" w:fill="FFFFFF"/>
            <w:vAlign w:val="center"/>
          </w:tcPr>
          <w:p w14:paraId="4FCF1980">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安装防撞条、警示柱费用标准</w:t>
            </w:r>
          </w:p>
        </w:tc>
        <w:tc>
          <w:tcPr>
            <w:tcW w:w="1030" w:type="dxa"/>
            <w:tcBorders>
              <w:top w:val="single" w:color="auto" w:sz="4" w:space="0"/>
              <w:left w:val="single" w:color="auto" w:sz="4" w:space="0"/>
              <w:bottom w:val="single" w:color="auto" w:sz="4" w:space="0"/>
              <w:right w:val="single" w:color="auto" w:sz="4" w:space="0"/>
            </w:tcBorders>
            <w:shd w:val="clear" w:color="auto" w:fill="FFFFFF"/>
            <w:vAlign w:val="center"/>
          </w:tcPr>
          <w:p w14:paraId="157882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354" w:type="dxa"/>
            <w:tcBorders>
              <w:top w:val="single" w:color="auto" w:sz="4" w:space="0"/>
              <w:left w:val="single" w:color="auto" w:sz="4" w:space="0"/>
              <w:bottom w:val="single" w:color="auto" w:sz="4" w:space="0"/>
              <w:right w:val="single" w:color="auto" w:sz="4" w:space="0"/>
            </w:tcBorders>
            <w:shd w:val="clear" w:color="auto" w:fill="FFFFFF"/>
            <w:vAlign w:val="center"/>
          </w:tcPr>
          <w:p w14:paraId="0A03CB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225元</w:t>
            </w:r>
          </w:p>
        </w:tc>
        <w:tc>
          <w:tcPr>
            <w:tcW w:w="136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D06A4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元/个</w:t>
            </w:r>
          </w:p>
        </w:tc>
        <w:tc>
          <w:tcPr>
            <w:tcW w:w="2161" w:type="dxa"/>
            <w:tcBorders>
              <w:top w:val="single" w:color="auto" w:sz="4" w:space="0"/>
              <w:left w:val="single" w:color="auto" w:sz="4" w:space="0"/>
              <w:bottom w:val="single" w:color="auto" w:sz="4" w:space="0"/>
              <w:right w:val="single" w:color="auto" w:sz="4" w:space="0"/>
            </w:tcBorders>
            <w:shd w:val="clear" w:color="auto" w:fill="FFFFFF"/>
            <w:vAlign w:val="center"/>
          </w:tcPr>
          <w:p w14:paraId="094F6BF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反映安装每个防撞条、警示柱线费用情况</w:t>
            </w:r>
          </w:p>
        </w:tc>
        <w:tc>
          <w:tcPr>
            <w:tcW w:w="3437" w:type="dxa"/>
            <w:tcBorders>
              <w:top w:val="single" w:color="auto" w:sz="4" w:space="0"/>
              <w:left w:val="single" w:color="auto" w:sz="4" w:space="0"/>
              <w:bottom w:val="single" w:color="auto" w:sz="4" w:space="0"/>
              <w:right w:val="single" w:color="auto" w:sz="4" w:space="0"/>
            </w:tcBorders>
            <w:shd w:val="clear" w:color="auto" w:fill="FFFFFF"/>
            <w:vAlign w:val="center"/>
          </w:tcPr>
          <w:p w14:paraId="321DF48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安装防撞条、警示柱费用标准≤225元/个,得满分，否则不得分</w:t>
            </w:r>
            <w:r>
              <w:rPr>
                <w:rFonts w:hint="eastAsia" w:ascii="宋体" w:hAnsi="宋体" w:cs="宋体"/>
                <w:i w:val="0"/>
                <w:iCs w:val="0"/>
                <w:color w:val="000000"/>
                <w:kern w:val="0"/>
                <w:sz w:val="20"/>
                <w:szCs w:val="20"/>
                <w:u w:val="none"/>
                <w:lang w:val="en-US" w:eastAsia="zh-CN" w:bidi="ar"/>
              </w:rPr>
              <w:t>。</w:t>
            </w:r>
          </w:p>
        </w:tc>
      </w:tr>
      <w:tr w14:paraId="3068D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7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51BE10B">
            <w:pPr>
              <w:jc w:val="center"/>
              <w:rPr>
                <w:rFonts w:hint="eastAsia" w:ascii="宋体" w:hAnsi="宋体" w:eastAsia="宋体" w:cs="宋体"/>
                <w:b/>
                <w:bCs/>
                <w:i w:val="0"/>
                <w:iCs w:val="0"/>
                <w:color w:val="000000"/>
                <w:sz w:val="20"/>
                <w:szCs w:val="20"/>
                <w:u w:val="none"/>
              </w:rPr>
            </w:pPr>
          </w:p>
        </w:tc>
        <w:tc>
          <w:tcPr>
            <w:tcW w:w="139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436D56DC">
            <w:pPr>
              <w:jc w:val="center"/>
              <w:rPr>
                <w:rFonts w:hint="eastAsia" w:ascii="宋体" w:hAnsi="宋体" w:eastAsia="宋体" w:cs="宋体"/>
                <w:i w:val="0"/>
                <w:iCs w:val="0"/>
                <w:color w:val="000000"/>
                <w:sz w:val="22"/>
                <w:szCs w:val="22"/>
                <w:u w:val="none"/>
              </w:rPr>
            </w:pPr>
          </w:p>
        </w:tc>
        <w:tc>
          <w:tcPr>
            <w:tcW w:w="2537" w:type="dxa"/>
            <w:tcBorders>
              <w:top w:val="single" w:color="auto" w:sz="4" w:space="0"/>
              <w:left w:val="single" w:color="auto" w:sz="4" w:space="0"/>
              <w:bottom w:val="single" w:color="auto" w:sz="4" w:space="0"/>
              <w:right w:val="single" w:color="auto" w:sz="4" w:space="0"/>
            </w:tcBorders>
            <w:shd w:val="clear" w:color="auto" w:fill="FFFFFF"/>
            <w:vAlign w:val="center"/>
          </w:tcPr>
          <w:p w14:paraId="1E192830">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新建道路防撞岛费用标准</w:t>
            </w:r>
          </w:p>
        </w:tc>
        <w:tc>
          <w:tcPr>
            <w:tcW w:w="1030" w:type="dxa"/>
            <w:tcBorders>
              <w:top w:val="single" w:color="auto" w:sz="4" w:space="0"/>
              <w:left w:val="single" w:color="auto" w:sz="4" w:space="0"/>
              <w:bottom w:val="single" w:color="auto" w:sz="4" w:space="0"/>
              <w:right w:val="single" w:color="auto" w:sz="4" w:space="0"/>
            </w:tcBorders>
            <w:shd w:val="clear" w:color="auto" w:fill="FFFFFF"/>
            <w:vAlign w:val="center"/>
          </w:tcPr>
          <w:p w14:paraId="5AA4BF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354" w:type="dxa"/>
            <w:tcBorders>
              <w:top w:val="single" w:color="auto" w:sz="4" w:space="0"/>
              <w:left w:val="single" w:color="auto" w:sz="4" w:space="0"/>
              <w:bottom w:val="single" w:color="auto" w:sz="4" w:space="0"/>
              <w:right w:val="single" w:color="auto" w:sz="4" w:space="0"/>
            </w:tcBorders>
            <w:shd w:val="clear" w:color="auto" w:fill="FFFFFF"/>
            <w:vAlign w:val="center"/>
          </w:tcPr>
          <w:p w14:paraId="2A4987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241</w:t>
            </w:r>
            <w:r>
              <w:rPr>
                <w:rFonts w:hint="eastAsia" w:ascii="宋体" w:hAnsi="宋体" w:eastAsia="宋体" w:cs="宋体"/>
                <w:i w:val="0"/>
                <w:iCs w:val="0"/>
                <w:color w:val="000000"/>
                <w:kern w:val="0"/>
                <w:sz w:val="20"/>
                <w:szCs w:val="20"/>
                <w:u w:val="none"/>
                <w:lang w:val="en-US" w:eastAsia="zh-CN" w:bidi="ar"/>
              </w:rPr>
              <w:t>元</w:t>
            </w:r>
          </w:p>
        </w:tc>
        <w:tc>
          <w:tcPr>
            <w:tcW w:w="136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714C7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元/平方</w:t>
            </w:r>
            <w:r>
              <w:rPr>
                <w:rFonts w:hint="eastAsia" w:ascii="宋体" w:hAnsi="宋体" w:cs="宋体"/>
                <w:i w:val="0"/>
                <w:iCs w:val="0"/>
                <w:color w:val="000000"/>
                <w:kern w:val="0"/>
                <w:sz w:val="22"/>
                <w:szCs w:val="22"/>
                <w:u w:val="none"/>
                <w:lang w:val="en-US" w:eastAsia="zh-CN" w:bidi="ar"/>
              </w:rPr>
              <w:t>米</w:t>
            </w:r>
          </w:p>
        </w:tc>
        <w:tc>
          <w:tcPr>
            <w:tcW w:w="2161" w:type="dxa"/>
            <w:tcBorders>
              <w:top w:val="single" w:color="auto" w:sz="4" w:space="0"/>
              <w:left w:val="single" w:color="auto" w:sz="4" w:space="0"/>
              <w:bottom w:val="single" w:color="auto" w:sz="4" w:space="0"/>
              <w:right w:val="single" w:color="auto" w:sz="4" w:space="0"/>
            </w:tcBorders>
            <w:shd w:val="clear" w:color="auto" w:fill="FFFFFF"/>
            <w:vAlign w:val="center"/>
          </w:tcPr>
          <w:p w14:paraId="44D0B3D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反映新建每个道路防撞岛线费用情况</w:t>
            </w:r>
          </w:p>
        </w:tc>
        <w:tc>
          <w:tcPr>
            <w:tcW w:w="3437" w:type="dxa"/>
            <w:tcBorders>
              <w:top w:val="single" w:color="auto" w:sz="4" w:space="0"/>
              <w:left w:val="single" w:color="auto" w:sz="4" w:space="0"/>
              <w:bottom w:val="single" w:color="auto" w:sz="4" w:space="0"/>
              <w:right w:val="single" w:color="auto" w:sz="4" w:space="0"/>
            </w:tcBorders>
            <w:shd w:val="clear" w:color="auto" w:fill="FFFFFF"/>
            <w:vAlign w:val="center"/>
          </w:tcPr>
          <w:p w14:paraId="155E1A5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新建道路防撞岛费用标准≤241元/平方米,得满分，否则不得分</w:t>
            </w:r>
            <w:r>
              <w:rPr>
                <w:rFonts w:hint="eastAsia" w:ascii="宋体" w:hAnsi="宋体" w:cs="宋体"/>
                <w:i w:val="0"/>
                <w:iCs w:val="0"/>
                <w:color w:val="000000"/>
                <w:kern w:val="0"/>
                <w:sz w:val="20"/>
                <w:szCs w:val="20"/>
                <w:u w:val="none"/>
                <w:lang w:val="en-US" w:eastAsia="zh-CN" w:bidi="ar"/>
              </w:rPr>
              <w:t>。</w:t>
            </w:r>
          </w:p>
        </w:tc>
      </w:tr>
      <w:tr w14:paraId="7DD50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4" w:hRule="atLeast"/>
          <w:jc w:val="center"/>
        </w:trPr>
        <w:tc>
          <w:tcPr>
            <w:tcW w:w="17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BA350F">
            <w:pPr>
              <w:jc w:val="center"/>
              <w:rPr>
                <w:rFonts w:hint="eastAsia" w:ascii="宋体" w:hAnsi="宋体" w:eastAsia="宋体" w:cs="宋体"/>
                <w:b/>
                <w:bCs/>
                <w:i w:val="0"/>
                <w:iCs w:val="0"/>
                <w:color w:val="000000"/>
                <w:sz w:val="20"/>
                <w:szCs w:val="20"/>
                <w:u w:val="none"/>
              </w:rPr>
            </w:pPr>
          </w:p>
        </w:tc>
        <w:tc>
          <w:tcPr>
            <w:tcW w:w="139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1D11A65">
            <w:pPr>
              <w:jc w:val="center"/>
              <w:rPr>
                <w:rFonts w:hint="eastAsia" w:ascii="宋体" w:hAnsi="宋体" w:eastAsia="宋体" w:cs="宋体"/>
                <w:i w:val="0"/>
                <w:iCs w:val="0"/>
                <w:color w:val="000000"/>
                <w:sz w:val="22"/>
                <w:szCs w:val="22"/>
                <w:u w:val="none"/>
              </w:rPr>
            </w:pPr>
          </w:p>
        </w:tc>
        <w:tc>
          <w:tcPr>
            <w:tcW w:w="2537" w:type="dxa"/>
            <w:tcBorders>
              <w:top w:val="single" w:color="auto" w:sz="4" w:space="0"/>
              <w:left w:val="single" w:color="auto" w:sz="4" w:space="0"/>
              <w:bottom w:val="single" w:color="auto" w:sz="4" w:space="0"/>
              <w:right w:val="single" w:color="auto" w:sz="4" w:space="0"/>
            </w:tcBorders>
            <w:shd w:val="clear" w:color="auto" w:fill="FFFFFF"/>
            <w:vAlign w:val="center"/>
          </w:tcPr>
          <w:p w14:paraId="0C03A332">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新建行人二次过街安全岛费用标准</w:t>
            </w:r>
          </w:p>
        </w:tc>
        <w:tc>
          <w:tcPr>
            <w:tcW w:w="1030" w:type="dxa"/>
            <w:tcBorders>
              <w:top w:val="single" w:color="auto" w:sz="4" w:space="0"/>
              <w:left w:val="single" w:color="auto" w:sz="4" w:space="0"/>
              <w:bottom w:val="single" w:color="auto" w:sz="4" w:space="0"/>
              <w:right w:val="single" w:color="auto" w:sz="4" w:space="0"/>
            </w:tcBorders>
            <w:shd w:val="clear" w:color="auto" w:fill="FFFFFF"/>
            <w:vAlign w:val="center"/>
          </w:tcPr>
          <w:p w14:paraId="1CB4C474">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354" w:type="dxa"/>
            <w:tcBorders>
              <w:top w:val="single" w:color="auto" w:sz="4" w:space="0"/>
              <w:left w:val="single" w:color="auto" w:sz="4" w:space="0"/>
              <w:bottom w:val="single" w:color="auto" w:sz="4" w:space="0"/>
              <w:right w:val="single" w:color="auto" w:sz="4" w:space="0"/>
            </w:tcBorders>
            <w:shd w:val="clear" w:color="auto" w:fill="FFFFFF"/>
            <w:vAlign w:val="center"/>
          </w:tcPr>
          <w:p w14:paraId="16704C48">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323</w:t>
            </w:r>
            <w:r>
              <w:rPr>
                <w:rFonts w:hint="eastAsia" w:ascii="宋体" w:hAnsi="宋体" w:eastAsia="宋体" w:cs="宋体"/>
                <w:i w:val="0"/>
                <w:iCs w:val="0"/>
                <w:color w:val="000000"/>
                <w:kern w:val="0"/>
                <w:sz w:val="20"/>
                <w:szCs w:val="20"/>
                <w:u w:val="none"/>
                <w:lang w:val="en-US" w:eastAsia="zh-CN" w:bidi="ar"/>
              </w:rPr>
              <w:t>元</w:t>
            </w:r>
          </w:p>
        </w:tc>
        <w:tc>
          <w:tcPr>
            <w:tcW w:w="136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7D963F7">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元/平方</w:t>
            </w:r>
            <w:r>
              <w:rPr>
                <w:rFonts w:hint="eastAsia" w:ascii="宋体" w:hAnsi="宋体" w:cs="宋体"/>
                <w:i w:val="0"/>
                <w:iCs w:val="0"/>
                <w:color w:val="000000"/>
                <w:kern w:val="0"/>
                <w:sz w:val="22"/>
                <w:szCs w:val="22"/>
                <w:u w:val="none"/>
                <w:lang w:val="en-US" w:eastAsia="zh-CN" w:bidi="ar"/>
              </w:rPr>
              <w:t>米</w:t>
            </w:r>
          </w:p>
        </w:tc>
        <w:tc>
          <w:tcPr>
            <w:tcW w:w="2161" w:type="dxa"/>
            <w:tcBorders>
              <w:top w:val="single" w:color="auto" w:sz="4" w:space="0"/>
              <w:left w:val="single" w:color="auto" w:sz="4" w:space="0"/>
              <w:bottom w:val="single" w:color="auto" w:sz="4" w:space="0"/>
              <w:right w:val="single" w:color="auto" w:sz="4" w:space="0"/>
            </w:tcBorders>
            <w:shd w:val="clear" w:color="auto" w:fill="FFFFFF"/>
            <w:vAlign w:val="center"/>
          </w:tcPr>
          <w:p w14:paraId="702DF54A">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反映新建每个行人二次过街安全岛费线费用情况</w:t>
            </w:r>
          </w:p>
        </w:tc>
        <w:tc>
          <w:tcPr>
            <w:tcW w:w="3437" w:type="dxa"/>
            <w:tcBorders>
              <w:top w:val="single" w:color="auto" w:sz="4" w:space="0"/>
              <w:left w:val="single" w:color="auto" w:sz="4" w:space="0"/>
              <w:bottom w:val="single" w:color="auto" w:sz="4" w:space="0"/>
              <w:right w:val="single" w:color="auto" w:sz="4" w:space="0"/>
            </w:tcBorders>
            <w:shd w:val="clear" w:color="auto" w:fill="FFFFFF"/>
            <w:vAlign w:val="center"/>
          </w:tcPr>
          <w:p w14:paraId="4CD25B5A">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新建行人二次过街安全岛费用标准≤323元/平方米,得满分，否则不得分</w:t>
            </w:r>
            <w:r>
              <w:rPr>
                <w:rFonts w:hint="eastAsia" w:ascii="宋体" w:hAnsi="宋体" w:cs="宋体"/>
                <w:i w:val="0"/>
                <w:iCs w:val="0"/>
                <w:color w:val="000000"/>
                <w:kern w:val="0"/>
                <w:sz w:val="20"/>
                <w:szCs w:val="20"/>
                <w:u w:val="none"/>
                <w:lang w:val="en-US" w:eastAsia="zh-CN" w:bidi="ar"/>
              </w:rPr>
              <w:t>。</w:t>
            </w:r>
          </w:p>
        </w:tc>
      </w:tr>
      <w:tr w14:paraId="162BB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jc w:val="center"/>
        </w:trPr>
        <w:tc>
          <w:tcPr>
            <w:tcW w:w="17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8A67DEB">
            <w:pPr>
              <w:jc w:val="center"/>
              <w:rPr>
                <w:rFonts w:hint="eastAsia" w:ascii="宋体" w:hAnsi="宋体" w:eastAsia="宋体" w:cs="宋体"/>
                <w:b/>
                <w:bCs/>
                <w:i w:val="0"/>
                <w:iCs w:val="0"/>
                <w:color w:val="000000"/>
                <w:sz w:val="20"/>
                <w:szCs w:val="20"/>
                <w:u w:val="none"/>
              </w:rPr>
            </w:pPr>
          </w:p>
        </w:tc>
        <w:tc>
          <w:tcPr>
            <w:tcW w:w="139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3542B64B">
            <w:pPr>
              <w:jc w:val="center"/>
              <w:rPr>
                <w:rFonts w:hint="eastAsia" w:ascii="宋体" w:hAnsi="宋体" w:eastAsia="宋体" w:cs="宋体"/>
                <w:i w:val="0"/>
                <w:iCs w:val="0"/>
                <w:color w:val="000000"/>
                <w:sz w:val="22"/>
                <w:szCs w:val="22"/>
                <w:u w:val="none"/>
              </w:rPr>
            </w:pPr>
          </w:p>
        </w:tc>
        <w:tc>
          <w:tcPr>
            <w:tcW w:w="2537" w:type="dxa"/>
            <w:tcBorders>
              <w:top w:val="single" w:color="auto" w:sz="4" w:space="0"/>
              <w:left w:val="single" w:color="auto" w:sz="4" w:space="0"/>
              <w:bottom w:val="single" w:color="auto" w:sz="4" w:space="0"/>
              <w:right w:val="single" w:color="auto" w:sz="4" w:space="0"/>
            </w:tcBorders>
            <w:shd w:val="clear" w:color="auto" w:fill="FFFFFF"/>
            <w:vAlign w:val="center"/>
          </w:tcPr>
          <w:p w14:paraId="49FD4912">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二类费用标准</w:t>
            </w:r>
          </w:p>
        </w:tc>
        <w:tc>
          <w:tcPr>
            <w:tcW w:w="1030" w:type="dxa"/>
            <w:tcBorders>
              <w:top w:val="single" w:color="auto" w:sz="4" w:space="0"/>
              <w:left w:val="single" w:color="auto" w:sz="4" w:space="0"/>
              <w:bottom w:val="single" w:color="auto" w:sz="4" w:space="0"/>
              <w:right w:val="single" w:color="auto" w:sz="4" w:space="0"/>
            </w:tcBorders>
            <w:shd w:val="clear" w:color="auto" w:fill="FFFFFF"/>
            <w:vAlign w:val="center"/>
          </w:tcPr>
          <w:p w14:paraId="51D42362">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354" w:type="dxa"/>
            <w:tcBorders>
              <w:top w:val="single" w:color="auto" w:sz="4" w:space="0"/>
              <w:left w:val="single" w:color="auto" w:sz="4" w:space="0"/>
              <w:bottom w:val="single" w:color="auto" w:sz="4" w:space="0"/>
              <w:right w:val="single" w:color="auto" w:sz="4" w:space="0"/>
            </w:tcBorders>
            <w:shd w:val="clear" w:color="auto" w:fill="FFFFFF"/>
            <w:vAlign w:val="center"/>
          </w:tcPr>
          <w:p w14:paraId="6C70357B">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18000</w:t>
            </w:r>
          </w:p>
        </w:tc>
        <w:tc>
          <w:tcPr>
            <w:tcW w:w="136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8C20893">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w:t>
            </w:r>
          </w:p>
        </w:tc>
        <w:tc>
          <w:tcPr>
            <w:tcW w:w="2161" w:type="dxa"/>
            <w:tcBorders>
              <w:top w:val="single" w:color="auto" w:sz="4" w:space="0"/>
              <w:left w:val="single" w:color="auto" w:sz="4" w:space="0"/>
              <w:bottom w:val="single" w:color="auto" w:sz="4" w:space="0"/>
              <w:right w:val="single" w:color="auto" w:sz="4" w:space="0"/>
            </w:tcBorders>
            <w:shd w:val="clear" w:color="auto" w:fill="FFFFFF"/>
            <w:vAlign w:val="center"/>
          </w:tcPr>
          <w:p w14:paraId="7F5E243B">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反映每项二类费用情况</w:t>
            </w:r>
          </w:p>
        </w:tc>
        <w:tc>
          <w:tcPr>
            <w:tcW w:w="3437" w:type="dxa"/>
            <w:tcBorders>
              <w:top w:val="single" w:color="auto" w:sz="4" w:space="0"/>
              <w:left w:val="single" w:color="auto" w:sz="4" w:space="0"/>
              <w:bottom w:val="single" w:color="auto" w:sz="4" w:space="0"/>
              <w:right w:val="single" w:color="auto" w:sz="4" w:space="0"/>
            </w:tcBorders>
            <w:shd w:val="clear" w:color="auto" w:fill="FFFFFF"/>
            <w:vAlign w:val="center"/>
          </w:tcPr>
          <w:p w14:paraId="5DCF0ED7">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二类费用标准≤18000元,得满分，否则不得分</w:t>
            </w:r>
            <w:r>
              <w:rPr>
                <w:rFonts w:hint="eastAsia" w:ascii="宋体" w:hAnsi="宋体" w:cs="宋体"/>
                <w:i w:val="0"/>
                <w:iCs w:val="0"/>
                <w:color w:val="000000"/>
                <w:kern w:val="0"/>
                <w:sz w:val="20"/>
                <w:szCs w:val="20"/>
                <w:u w:val="none"/>
                <w:lang w:val="en-US" w:eastAsia="zh-CN" w:bidi="ar"/>
              </w:rPr>
              <w:t>。</w:t>
            </w:r>
          </w:p>
        </w:tc>
      </w:tr>
      <w:tr w14:paraId="6C74B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8" w:hRule="atLeast"/>
          <w:jc w:val="center"/>
        </w:trPr>
        <w:tc>
          <w:tcPr>
            <w:tcW w:w="17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BD8544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效益指标</w:t>
            </w:r>
          </w:p>
        </w:tc>
        <w:tc>
          <w:tcPr>
            <w:tcW w:w="1392" w:type="dxa"/>
            <w:tcBorders>
              <w:top w:val="single" w:color="auto" w:sz="4" w:space="0"/>
              <w:left w:val="single" w:color="auto" w:sz="4" w:space="0"/>
              <w:bottom w:val="single" w:color="auto" w:sz="4" w:space="0"/>
              <w:right w:val="single" w:color="auto" w:sz="4" w:space="0"/>
            </w:tcBorders>
            <w:shd w:val="clear" w:color="auto" w:fill="FFFFFF"/>
            <w:vAlign w:val="center"/>
          </w:tcPr>
          <w:p w14:paraId="3B04016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社会效益指标</w:t>
            </w:r>
          </w:p>
        </w:tc>
        <w:tc>
          <w:tcPr>
            <w:tcW w:w="2537" w:type="dxa"/>
            <w:tcBorders>
              <w:top w:val="single" w:color="auto" w:sz="4" w:space="0"/>
              <w:left w:val="single" w:color="auto" w:sz="4" w:space="0"/>
              <w:bottom w:val="single" w:color="auto" w:sz="4" w:space="0"/>
              <w:right w:val="single" w:color="auto" w:sz="4" w:space="0"/>
            </w:tcBorders>
            <w:shd w:val="clear" w:color="auto" w:fill="FFFFFF"/>
            <w:vAlign w:val="center"/>
          </w:tcPr>
          <w:p w14:paraId="18F0EB1C">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减少交通事故</w:t>
            </w:r>
          </w:p>
        </w:tc>
        <w:tc>
          <w:tcPr>
            <w:tcW w:w="1030" w:type="dxa"/>
            <w:tcBorders>
              <w:top w:val="single" w:color="auto" w:sz="4" w:space="0"/>
              <w:left w:val="single" w:color="auto" w:sz="4" w:space="0"/>
              <w:bottom w:val="single" w:color="auto" w:sz="4" w:space="0"/>
              <w:right w:val="single" w:color="auto" w:sz="4" w:space="0"/>
            </w:tcBorders>
            <w:shd w:val="clear" w:color="auto" w:fill="FFFFFF"/>
            <w:vAlign w:val="center"/>
          </w:tcPr>
          <w:p w14:paraId="151D7F13">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定性</w:t>
            </w:r>
          </w:p>
        </w:tc>
        <w:tc>
          <w:tcPr>
            <w:tcW w:w="1354" w:type="dxa"/>
            <w:tcBorders>
              <w:top w:val="single" w:color="auto" w:sz="4" w:space="0"/>
              <w:left w:val="single" w:color="auto" w:sz="4" w:space="0"/>
              <w:bottom w:val="single" w:color="auto" w:sz="4" w:space="0"/>
              <w:right w:val="single" w:color="auto" w:sz="4" w:space="0"/>
            </w:tcBorders>
            <w:shd w:val="clear" w:color="auto" w:fill="FFFFFF"/>
            <w:vAlign w:val="center"/>
          </w:tcPr>
          <w:p w14:paraId="6ABB7C14">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减少</w:t>
            </w:r>
          </w:p>
        </w:tc>
        <w:tc>
          <w:tcPr>
            <w:tcW w:w="136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1D4267A">
            <w:pPr>
              <w:keepNext w:val="0"/>
              <w:keepLines w:val="0"/>
              <w:pageBreakBefore w:val="0"/>
              <w:widowControl/>
              <w:kinsoku/>
              <w:wordWrap/>
              <w:overflowPunct/>
              <w:topLinePunct w:val="0"/>
              <w:autoSpaceDE/>
              <w:autoSpaceDN/>
              <w:bidi w:val="0"/>
              <w:adjustRightInd/>
              <w:snapToGrid/>
              <w:spacing w:line="120" w:lineRule="auto"/>
              <w:jc w:val="center"/>
              <w:rPr>
                <w:rFonts w:hint="eastAsia" w:ascii="宋体" w:hAnsi="宋体" w:eastAsia="宋体" w:cs="宋体"/>
                <w:i w:val="0"/>
                <w:iCs w:val="0"/>
                <w:color w:val="000000"/>
                <w:sz w:val="22"/>
                <w:szCs w:val="22"/>
                <w:u w:val="none"/>
              </w:rPr>
            </w:pPr>
          </w:p>
        </w:tc>
        <w:tc>
          <w:tcPr>
            <w:tcW w:w="2161" w:type="dxa"/>
            <w:tcBorders>
              <w:top w:val="single" w:color="auto" w:sz="4" w:space="0"/>
              <w:left w:val="single" w:color="auto" w:sz="4" w:space="0"/>
              <w:bottom w:val="single" w:color="auto" w:sz="4" w:space="0"/>
              <w:right w:val="single" w:color="auto" w:sz="4" w:space="0"/>
            </w:tcBorders>
            <w:shd w:val="clear" w:color="auto" w:fill="FFFFFF"/>
            <w:vAlign w:val="center"/>
          </w:tcPr>
          <w:p w14:paraId="1C9F2C52">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反映项目实施后，该路口交通事故下降情况</w:t>
            </w:r>
          </w:p>
        </w:tc>
        <w:tc>
          <w:tcPr>
            <w:tcW w:w="3437" w:type="dxa"/>
            <w:tcBorders>
              <w:top w:val="single" w:color="auto" w:sz="4" w:space="0"/>
              <w:left w:val="single" w:color="auto" w:sz="4" w:space="0"/>
              <w:bottom w:val="single" w:color="auto" w:sz="4" w:space="0"/>
              <w:right w:val="single" w:color="auto" w:sz="4" w:space="0"/>
            </w:tcBorders>
            <w:shd w:val="clear" w:color="auto" w:fill="FFFFFF"/>
            <w:vAlign w:val="center"/>
          </w:tcPr>
          <w:p w14:paraId="505EC8DC">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评分标准：2025年此路口交通事故小于2024年交通事故数，得满分。否则不得分。</w:t>
            </w:r>
          </w:p>
        </w:tc>
      </w:tr>
      <w:tr w14:paraId="50E7A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6" w:hRule="atLeast"/>
          <w:jc w:val="center"/>
        </w:trPr>
        <w:tc>
          <w:tcPr>
            <w:tcW w:w="17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F1C49A">
            <w:pPr>
              <w:jc w:val="center"/>
              <w:rPr>
                <w:rFonts w:hint="eastAsia" w:ascii="宋体" w:hAnsi="宋体" w:eastAsia="宋体" w:cs="宋体"/>
                <w:b/>
                <w:bCs/>
                <w:i w:val="0"/>
                <w:iCs w:val="0"/>
                <w:color w:val="000000"/>
                <w:sz w:val="20"/>
                <w:szCs w:val="20"/>
                <w:u w:val="none"/>
              </w:rPr>
            </w:pPr>
          </w:p>
        </w:tc>
        <w:tc>
          <w:tcPr>
            <w:tcW w:w="1392" w:type="dxa"/>
            <w:tcBorders>
              <w:top w:val="single" w:color="auto" w:sz="4" w:space="0"/>
              <w:left w:val="single" w:color="auto" w:sz="4" w:space="0"/>
              <w:bottom w:val="single" w:color="auto" w:sz="4" w:space="0"/>
              <w:right w:val="single" w:color="auto" w:sz="4" w:space="0"/>
            </w:tcBorders>
            <w:shd w:val="clear" w:color="auto" w:fill="FFFFFF"/>
            <w:vAlign w:val="center"/>
          </w:tcPr>
          <w:p w14:paraId="29D53A0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社会效益指标</w:t>
            </w:r>
          </w:p>
        </w:tc>
        <w:tc>
          <w:tcPr>
            <w:tcW w:w="2537" w:type="dxa"/>
            <w:tcBorders>
              <w:top w:val="single" w:color="auto" w:sz="4" w:space="0"/>
              <w:left w:val="single" w:color="auto" w:sz="4" w:space="0"/>
              <w:bottom w:val="single" w:color="auto" w:sz="4" w:space="0"/>
              <w:right w:val="single" w:color="auto" w:sz="4" w:space="0"/>
            </w:tcBorders>
            <w:shd w:val="clear" w:color="auto" w:fill="FFFFFF"/>
            <w:vAlign w:val="center"/>
          </w:tcPr>
          <w:p w14:paraId="1C460A79">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缩短周边市民出行距离</w:t>
            </w:r>
          </w:p>
        </w:tc>
        <w:tc>
          <w:tcPr>
            <w:tcW w:w="1030" w:type="dxa"/>
            <w:tcBorders>
              <w:top w:val="single" w:color="auto" w:sz="4" w:space="0"/>
              <w:left w:val="single" w:color="auto" w:sz="4" w:space="0"/>
              <w:bottom w:val="single" w:color="auto" w:sz="4" w:space="0"/>
              <w:right w:val="single" w:color="auto" w:sz="4" w:space="0"/>
            </w:tcBorders>
            <w:shd w:val="clear" w:color="auto" w:fill="FFFFFF"/>
            <w:vAlign w:val="center"/>
          </w:tcPr>
          <w:p w14:paraId="58CA3554">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定性</w:t>
            </w:r>
          </w:p>
        </w:tc>
        <w:tc>
          <w:tcPr>
            <w:tcW w:w="1354" w:type="dxa"/>
            <w:tcBorders>
              <w:top w:val="single" w:color="auto" w:sz="4" w:space="0"/>
              <w:left w:val="single" w:color="auto" w:sz="4" w:space="0"/>
              <w:bottom w:val="single" w:color="auto" w:sz="4" w:space="0"/>
              <w:right w:val="single" w:color="auto" w:sz="4" w:space="0"/>
            </w:tcBorders>
            <w:shd w:val="clear" w:color="auto" w:fill="FFFFFF"/>
            <w:vAlign w:val="center"/>
          </w:tcPr>
          <w:p w14:paraId="5F9C11E0">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减少</w:t>
            </w:r>
          </w:p>
        </w:tc>
        <w:tc>
          <w:tcPr>
            <w:tcW w:w="136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3A4121F">
            <w:pPr>
              <w:keepNext w:val="0"/>
              <w:keepLines w:val="0"/>
              <w:pageBreakBefore w:val="0"/>
              <w:widowControl/>
              <w:kinsoku/>
              <w:wordWrap/>
              <w:overflowPunct/>
              <w:topLinePunct w:val="0"/>
              <w:autoSpaceDE/>
              <w:autoSpaceDN/>
              <w:bidi w:val="0"/>
              <w:adjustRightInd/>
              <w:snapToGrid/>
              <w:spacing w:line="120" w:lineRule="auto"/>
              <w:jc w:val="center"/>
              <w:rPr>
                <w:rFonts w:hint="eastAsia" w:ascii="宋体" w:hAnsi="宋体" w:eastAsia="宋体" w:cs="宋体"/>
                <w:i w:val="0"/>
                <w:iCs w:val="0"/>
                <w:color w:val="000000"/>
                <w:sz w:val="22"/>
                <w:szCs w:val="22"/>
                <w:u w:val="none"/>
              </w:rPr>
            </w:pPr>
          </w:p>
        </w:tc>
        <w:tc>
          <w:tcPr>
            <w:tcW w:w="2161" w:type="dxa"/>
            <w:tcBorders>
              <w:top w:val="single" w:color="auto" w:sz="4" w:space="0"/>
              <w:left w:val="single" w:color="auto" w:sz="4" w:space="0"/>
              <w:bottom w:val="single" w:color="auto" w:sz="4" w:space="0"/>
              <w:right w:val="single" w:color="auto" w:sz="4" w:space="0"/>
            </w:tcBorders>
            <w:shd w:val="clear" w:color="auto" w:fill="FFFFFF"/>
            <w:vAlign w:val="center"/>
          </w:tcPr>
          <w:p w14:paraId="4819E601">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反映项目实施后，周边市民出行距离更短情况</w:t>
            </w:r>
          </w:p>
        </w:tc>
        <w:tc>
          <w:tcPr>
            <w:tcW w:w="3437" w:type="dxa"/>
            <w:tcBorders>
              <w:top w:val="single" w:color="auto" w:sz="4" w:space="0"/>
              <w:left w:val="single" w:color="auto" w:sz="4" w:space="0"/>
              <w:bottom w:val="single" w:color="auto" w:sz="4" w:space="0"/>
              <w:right w:val="single" w:color="auto" w:sz="4" w:space="0"/>
            </w:tcBorders>
            <w:shd w:val="clear" w:color="auto" w:fill="FFFFFF"/>
            <w:vAlign w:val="center"/>
          </w:tcPr>
          <w:p w14:paraId="6179C7F0">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评分标准：2025年周边市民出行距离小于2024年出行距离，得满分。否则不得分。</w:t>
            </w:r>
          </w:p>
        </w:tc>
      </w:tr>
      <w:tr w14:paraId="0D93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2" w:hRule="atLeast"/>
          <w:jc w:val="center"/>
        </w:trPr>
        <w:tc>
          <w:tcPr>
            <w:tcW w:w="1743" w:type="dxa"/>
            <w:tcBorders>
              <w:top w:val="single" w:color="auto" w:sz="4" w:space="0"/>
              <w:left w:val="single" w:color="auto" w:sz="4" w:space="0"/>
              <w:bottom w:val="single" w:color="auto" w:sz="4" w:space="0"/>
              <w:right w:val="single" w:color="auto" w:sz="4" w:space="0"/>
            </w:tcBorders>
            <w:shd w:val="clear" w:color="auto" w:fill="auto"/>
            <w:vAlign w:val="center"/>
          </w:tcPr>
          <w:p w14:paraId="46F998E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满意度指标</w:t>
            </w:r>
          </w:p>
        </w:tc>
        <w:tc>
          <w:tcPr>
            <w:tcW w:w="1392" w:type="dxa"/>
            <w:tcBorders>
              <w:top w:val="single" w:color="auto" w:sz="4" w:space="0"/>
              <w:left w:val="single" w:color="auto" w:sz="4" w:space="0"/>
              <w:bottom w:val="single" w:color="auto" w:sz="4" w:space="0"/>
              <w:right w:val="single" w:color="auto" w:sz="4" w:space="0"/>
            </w:tcBorders>
            <w:shd w:val="clear" w:color="auto" w:fill="FFFFFF"/>
            <w:vAlign w:val="center"/>
          </w:tcPr>
          <w:p w14:paraId="12F9F7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满意度指标</w:t>
            </w:r>
          </w:p>
        </w:tc>
        <w:tc>
          <w:tcPr>
            <w:tcW w:w="2537" w:type="dxa"/>
            <w:tcBorders>
              <w:top w:val="single" w:color="auto" w:sz="4" w:space="0"/>
              <w:left w:val="single" w:color="auto" w:sz="4" w:space="0"/>
              <w:bottom w:val="single" w:color="auto" w:sz="4" w:space="0"/>
              <w:right w:val="single" w:color="auto" w:sz="4" w:space="0"/>
            </w:tcBorders>
            <w:shd w:val="clear" w:color="auto" w:fill="FFFFFF"/>
            <w:vAlign w:val="center"/>
          </w:tcPr>
          <w:p w14:paraId="6886C9B5">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群众满意度</w:t>
            </w:r>
          </w:p>
        </w:tc>
        <w:tc>
          <w:tcPr>
            <w:tcW w:w="1030" w:type="dxa"/>
            <w:tcBorders>
              <w:top w:val="single" w:color="auto" w:sz="4" w:space="0"/>
              <w:left w:val="single" w:color="auto" w:sz="4" w:space="0"/>
              <w:bottom w:val="single" w:color="auto" w:sz="4" w:space="0"/>
              <w:right w:val="single" w:color="auto" w:sz="4" w:space="0"/>
            </w:tcBorders>
            <w:shd w:val="clear" w:color="auto" w:fill="FFFFFF"/>
            <w:vAlign w:val="center"/>
          </w:tcPr>
          <w:p w14:paraId="2A84181A">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1354" w:type="dxa"/>
            <w:tcBorders>
              <w:top w:val="single" w:color="auto" w:sz="4" w:space="0"/>
              <w:left w:val="single" w:color="auto" w:sz="4" w:space="0"/>
              <w:bottom w:val="single" w:color="auto" w:sz="4" w:space="0"/>
              <w:right w:val="single" w:color="auto" w:sz="4" w:space="0"/>
            </w:tcBorders>
            <w:shd w:val="clear" w:color="auto" w:fill="FFFFFF"/>
            <w:vAlign w:val="center"/>
          </w:tcPr>
          <w:p w14:paraId="7C51C40A">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136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697B3AE">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2161" w:type="dxa"/>
            <w:tcBorders>
              <w:top w:val="single" w:color="auto" w:sz="4" w:space="0"/>
              <w:left w:val="single" w:color="auto" w:sz="4" w:space="0"/>
              <w:bottom w:val="single" w:color="auto" w:sz="4" w:space="0"/>
              <w:right w:val="single" w:color="auto" w:sz="4" w:space="0"/>
            </w:tcBorders>
            <w:shd w:val="clear" w:color="auto" w:fill="FFFFFF"/>
            <w:vAlign w:val="center"/>
          </w:tcPr>
          <w:p w14:paraId="697F1BDD">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反映本项目实施后，群众满意情况</w:t>
            </w:r>
          </w:p>
        </w:tc>
        <w:tc>
          <w:tcPr>
            <w:tcW w:w="3437" w:type="dxa"/>
            <w:tcBorders>
              <w:top w:val="single" w:color="auto" w:sz="4" w:space="0"/>
              <w:left w:val="single" w:color="auto" w:sz="4" w:space="0"/>
              <w:bottom w:val="single" w:color="auto" w:sz="4" w:space="0"/>
              <w:right w:val="single" w:color="auto" w:sz="4" w:space="0"/>
            </w:tcBorders>
            <w:shd w:val="clear" w:color="auto" w:fill="FFFFFF"/>
            <w:vAlign w:val="center"/>
          </w:tcPr>
          <w:p w14:paraId="058136EC">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评分标准：群众满意度≥90%，得满分，低于60%不得分。其他满意度得分=满意度*分值</w:t>
            </w:r>
          </w:p>
        </w:tc>
      </w:tr>
      <w:tr w14:paraId="4CCB4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1743" w:type="dxa"/>
            <w:tcBorders>
              <w:top w:val="single" w:color="auto" w:sz="4" w:space="0"/>
              <w:left w:val="single" w:color="auto" w:sz="4" w:space="0"/>
              <w:bottom w:val="single" w:color="auto" w:sz="4" w:space="0"/>
              <w:right w:val="single" w:color="auto" w:sz="4" w:space="0"/>
            </w:tcBorders>
            <w:shd w:val="clear" w:color="auto" w:fill="auto"/>
            <w:vAlign w:val="center"/>
          </w:tcPr>
          <w:p w14:paraId="6AC4368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联系人及电话</w:t>
            </w:r>
          </w:p>
        </w:tc>
        <w:tc>
          <w:tcPr>
            <w:tcW w:w="13271" w:type="dxa"/>
            <w:gridSpan w:val="8"/>
            <w:tcBorders>
              <w:top w:val="single" w:color="auto" w:sz="4" w:space="0"/>
              <w:left w:val="single" w:color="auto" w:sz="4" w:space="0"/>
              <w:bottom w:val="single" w:color="auto" w:sz="4" w:space="0"/>
              <w:right w:val="single" w:color="auto" w:sz="4" w:space="0"/>
            </w:tcBorders>
            <w:shd w:val="clear" w:color="auto" w:fill="auto"/>
            <w:vAlign w:val="center"/>
          </w:tcPr>
          <w:p w14:paraId="7D342B72">
            <w:pPr>
              <w:jc w:val="center"/>
              <w:rPr>
                <w:rFonts w:hint="eastAsia" w:ascii="宋体" w:hAnsi="宋体" w:eastAsia="宋体" w:cs="宋体"/>
                <w:i w:val="0"/>
                <w:iCs w:val="0"/>
                <w:color w:val="000000"/>
                <w:sz w:val="20"/>
                <w:szCs w:val="20"/>
                <w:u w:val="none"/>
              </w:rPr>
            </w:pPr>
          </w:p>
        </w:tc>
      </w:tr>
    </w:tbl>
    <w:p w14:paraId="73579F95">
      <w:pPr>
        <w:rPr>
          <w:rFonts w:hint="eastAsia"/>
        </w:rPr>
      </w:pPr>
      <w:r>
        <w:rPr>
          <w:rFonts w:hint="eastAsia"/>
        </w:rPr>
        <w:br w:type="page"/>
      </w:r>
    </w:p>
    <w:p w14:paraId="6093E504">
      <w:pPr>
        <w:keepNext w:val="0"/>
        <w:keepLines w:val="0"/>
        <w:pageBreakBefore w:val="0"/>
        <w:widowControl w:val="0"/>
        <w:kinsoku/>
        <w:wordWrap/>
        <w:overflowPunct/>
        <w:topLinePunct w:val="0"/>
        <w:autoSpaceDE/>
        <w:autoSpaceDN/>
        <w:bidi w:val="0"/>
        <w:adjustRightInd/>
        <w:spacing w:line="550" w:lineRule="exact"/>
        <w:jc w:val="center"/>
        <w:textAlignment w:val="auto"/>
        <w:rPr>
          <w:rFonts w:hint="eastAsia" w:ascii="微软雅黑" w:hAnsi="微软雅黑" w:eastAsia="微软雅黑" w:cs="微软雅黑"/>
          <w:bCs/>
          <w:sz w:val="44"/>
          <w:szCs w:val="44"/>
          <w:lang w:eastAsia="zh-CN"/>
        </w:rPr>
      </w:pPr>
      <w:r>
        <w:rPr>
          <w:rFonts w:hint="eastAsia" w:ascii="微软雅黑" w:hAnsi="微软雅黑" w:eastAsia="微软雅黑" w:cs="微软雅黑"/>
          <w:bCs/>
          <w:sz w:val="44"/>
          <w:szCs w:val="44"/>
          <w:lang w:val="en-US" w:eastAsia="zh-CN"/>
        </w:rPr>
        <w:t>项目6：农村生活污水处理设施运行维护项目</w:t>
      </w:r>
    </w:p>
    <w:p w14:paraId="23670811">
      <w:pPr>
        <w:keepNext w:val="0"/>
        <w:keepLines w:val="0"/>
        <w:pageBreakBefore w:val="0"/>
        <w:widowControl w:val="0"/>
        <w:kinsoku/>
        <w:wordWrap/>
        <w:overflowPunct/>
        <w:topLinePunct w:val="0"/>
        <w:autoSpaceDE/>
        <w:autoSpaceDN/>
        <w:bidi w:val="0"/>
        <w:spacing w:line="560" w:lineRule="exact"/>
        <w:jc w:val="center"/>
        <w:textAlignment w:val="auto"/>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w:t>
      </w:r>
      <w:r>
        <w:rPr>
          <w:rFonts w:hint="eastAsia" w:ascii="楷体_GB2312" w:hAnsi="楷体_GB2312" w:eastAsia="楷体_GB2312" w:cs="楷体_GB2312"/>
          <w:color w:val="000000"/>
          <w:sz w:val="32"/>
          <w:szCs w:val="32"/>
          <w:lang w:val="en-US" w:eastAsia="zh-CN"/>
        </w:rPr>
        <w:t>贵安新区生态环境局</w:t>
      </w:r>
      <w:r>
        <w:rPr>
          <w:rFonts w:hint="eastAsia" w:ascii="楷体_GB2312" w:hAnsi="楷体_GB2312" w:eastAsia="楷体_GB2312" w:cs="楷体_GB2312"/>
          <w:color w:val="000000"/>
          <w:sz w:val="32"/>
          <w:szCs w:val="32"/>
        </w:rPr>
        <w:t>）</w:t>
      </w:r>
    </w:p>
    <w:p w14:paraId="50506B0B">
      <w:pPr>
        <w:keepNext w:val="0"/>
        <w:keepLines w:val="0"/>
        <w:pageBreakBefore w:val="0"/>
        <w:widowControl w:val="0"/>
        <w:kinsoku/>
        <w:wordWrap/>
        <w:overflowPunct/>
        <w:topLinePunct w:val="0"/>
        <w:autoSpaceDE/>
        <w:autoSpaceDN/>
        <w:bidi w:val="0"/>
        <w:spacing w:line="560" w:lineRule="exact"/>
        <w:ind w:firstLine="644" w:firstLineChars="200"/>
        <w:textAlignment w:val="auto"/>
        <w:rPr>
          <w:rFonts w:hint="eastAsia" w:ascii="方正仿宋_GBK" w:eastAsia="方正仿宋_GBK" w:cs="方正仿宋_GBK"/>
          <w:color w:val="000000"/>
          <w:sz w:val="32"/>
          <w:szCs w:val="32"/>
        </w:rPr>
      </w:pPr>
    </w:p>
    <w:p w14:paraId="3F0E7D32">
      <w:pPr>
        <w:keepNext w:val="0"/>
        <w:keepLines w:val="0"/>
        <w:pageBreakBefore w:val="0"/>
        <w:widowControl w:val="0"/>
        <w:kinsoku/>
        <w:wordWrap/>
        <w:overflowPunct/>
        <w:topLinePunct w:val="0"/>
        <w:autoSpaceDE/>
        <w:autoSpaceDN/>
        <w:bidi w:val="0"/>
        <w:spacing w:line="560" w:lineRule="exact"/>
        <w:ind w:left="0" w:firstLine="644" w:firstLineChars="200"/>
        <w:textAlignment w:val="auto"/>
        <w:rPr>
          <w:rFonts w:hint="eastAsia" w:ascii="黑体" w:eastAsia="黑体" w:cs="黑体"/>
          <w:color w:val="000000"/>
          <w:sz w:val="32"/>
          <w:szCs w:val="32"/>
        </w:rPr>
      </w:pPr>
      <w:r>
        <w:rPr>
          <w:rFonts w:hint="eastAsia" w:ascii="黑体" w:eastAsia="黑体" w:cs="黑体"/>
          <w:color w:val="000000"/>
          <w:sz w:val="32"/>
          <w:szCs w:val="32"/>
          <w:lang w:eastAsia="zh-CN"/>
        </w:rPr>
        <w:t>一、项目</w:t>
      </w:r>
      <w:r>
        <w:rPr>
          <w:rFonts w:hint="eastAsia" w:ascii="黑体" w:eastAsia="黑体" w:cs="黑体"/>
          <w:color w:val="000000"/>
          <w:sz w:val="32"/>
          <w:szCs w:val="32"/>
        </w:rPr>
        <w:t>概述</w:t>
      </w:r>
    </w:p>
    <w:p w14:paraId="0031E07F">
      <w:pPr>
        <w:pStyle w:val="8"/>
        <w:keepNext w:val="0"/>
        <w:keepLines w:val="0"/>
        <w:pageBreakBefore w:val="0"/>
        <w:widowControl w:val="0"/>
        <w:kinsoku/>
        <w:wordWrap/>
        <w:overflowPunct/>
        <w:topLinePunct w:val="0"/>
        <w:autoSpaceDE/>
        <w:autoSpaceDN/>
        <w:bidi w:val="0"/>
        <w:spacing w:line="560" w:lineRule="exact"/>
        <w:ind w:firstLine="644"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根据《省生态环境厅等五部门关于印发</w:t>
      </w:r>
      <w:r>
        <w:rPr>
          <w:rFonts w:hint="eastAsia" w:ascii="仿宋" w:hAnsi="仿宋" w:eastAsia="仿宋" w:cs="仿宋"/>
          <w:sz w:val="32"/>
          <w:szCs w:val="32"/>
          <w:lang w:val="en-US" w:eastAsia="zh-CN"/>
        </w:rPr>
        <w:t>〈</w:t>
      </w:r>
      <w:r>
        <w:rPr>
          <w:rFonts w:hint="eastAsia" w:ascii="Times New Roman" w:hAnsi="Times New Roman" w:eastAsia="仿宋_GB2312" w:cs="Times New Roman"/>
          <w:sz w:val="32"/>
          <w:szCs w:val="32"/>
          <w:lang w:val="en-US" w:eastAsia="zh-CN"/>
        </w:rPr>
        <w:t>贵州省农村生活污水处理设施运行维护管理办法（试行）</w:t>
      </w:r>
      <w:r>
        <w:rPr>
          <w:rFonts w:hint="eastAsia" w:ascii="仿宋" w:hAnsi="仿宋" w:eastAsia="仿宋" w:cs="仿宋"/>
          <w:sz w:val="32"/>
          <w:szCs w:val="32"/>
          <w:lang w:val="en-US" w:eastAsia="zh-CN"/>
        </w:rPr>
        <w:t>〉</w:t>
      </w:r>
      <w:r>
        <w:rPr>
          <w:rFonts w:hint="eastAsia" w:ascii="Times New Roman" w:hAnsi="Times New Roman" w:eastAsia="仿宋_GB2312" w:cs="Times New Roman"/>
          <w:sz w:val="32"/>
          <w:szCs w:val="32"/>
          <w:lang w:val="en-US" w:eastAsia="zh-CN"/>
        </w:rPr>
        <w:t>的通知》（黔环土〔2022〕11号）《贵阳贵安农村“治水”工作实施方案》等文件精神，紧紧围绕贵阳贵安农村“五治”这一改善村庄环境、造福百姓的关键举措，按照政府主导、建管并重、注重实效、便于监管的原则，完善长效管护机制，确保生活污水处理设施建成一个、运行一个、见效一个，全面启动贵安新区农村生活污水处理设施运行维护工作。该工作本级预算资金</w:t>
      </w:r>
      <w:r>
        <w:rPr>
          <w:rFonts w:hint="eastAsia" w:ascii="Times New Roman" w:hAnsi="Times New Roman" w:eastAsia="仿宋_GB2312" w:cs="Times New Roman"/>
          <w:b w:val="0"/>
          <w:bCs w:val="0"/>
          <w:kern w:val="2"/>
          <w:sz w:val="32"/>
          <w:szCs w:val="32"/>
          <w:lang w:val="en-US" w:eastAsia="zh-CN" w:bidi="ar-SA"/>
        </w:rPr>
        <w:t>241.56万元</w:t>
      </w:r>
      <w:r>
        <w:rPr>
          <w:rFonts w:hint="eastAsia" w:ascii="Times New Roman" w:hAnsi="Times New Roman" w:eastAsia="仿宋_GB2312" w:cs="Times New Roman"/>
          <w:sz w:val="32"/>
          <w:szCs w:val="32"/>
          <w:lang w:val="en-US" w:eastAsia="zh-CN"/>
        </w:rPr>
        <w:t>纳入2024年新区本级财政预算安排。</w:t>
      </w:r>
    </w:p>
    <w:p w14:paraId="740C2547">
      <w:pPr>
        <w:keepNext w:val="0"/>
        <w:keepLines w:val="0"/>
        <w:pageBreakBefore w:val="0"/>
        <w:widowControl w:val="0"/>
        <w:kinsoku/>
        <w:wordWrap/>
        <w:overflowPunct/>
        <w:topLinePunct w:val="0"/>
        <w:autoSpaceDE/>
        <w:autoSpaceDN/>
        <w:bidi w:val="0"/>
        <w:spacing w:line="560" w:lineRule="exact"/>
        <w:ind w:left="0" w:firstLine="644" w:firstLineChars="200"/>
        <w:textAlignment w:val="auto"/>
        <w:rPr>
          <w:rFonts w:hint="eastAsia" w:ascii="黑体" w:eastAsia="黑体" w:cs="黑体"/>
          <w:color w:val="000000"/>
          <w:sz w:val="32"/>
          <w:szCs w:val="32"/>
        </w:rPr>
      </w:pPr>
      <w:r>
        <w:rPr>
          <w:rFonts w:hint="eastAsia" w:ascii="黑体" w:eastAsia="黑体" w:cs="黑体"/>
          <w:color w:val="000000"/>
          <w:sz w:val="32"/>
          <w:szCs w:val="32"/>
          <w:lang w:eastAsia="zh-CN"/>
        </w:rPr>
        <w:t>二、立项</w:t>
      </w:r>
      <w:r>
        <w:rPr>
          <w:rFonts w:hint="eastAsia" w:ascii="黑体" w:eastAsia="黑体" w:cs="黑体"/>
          <w:color w:val="000000"/>
          <w:sz w:val="32"/>
          <w:szCs w:val="32"/>
        </w:rPr>
        <w:t>依据</w:t>
      </w:r>
    </w:p>
    <w:p w14:paraId="47C1BD18">
      <w:pPr>
        <w:pStyle w:val="8"/>
        <w:keepNext w:val="0"/>
        <w:keepLines w:val="0"/>
        <w:pageBreakBefore w:val="0"/>
        <w:widowControl w:val="0"/>
        <w:kinsoku/>
        <w:wordWrap/>
        <w:overflowPunct/>
        <w:topLinePunct w:val="0"/>
        <w:autoSpaceDE/>
        <w:autoSpaceDN/>
        <w:bidi w:val="0"/>
        <w:spacing w:line="560" w:lineRule="exact"/>
        <w:ind w:firstLine="644"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根据《省生态环境厅等五部门关于印发</w:t>
      </w:r>
      <w:r>
        <w:rPr>
          <w:rFonts w:hint="eastAsia" w:ascii="仿宋" w:hAnsi="仿宋" w:eastAsia="仿宋" w:cs="仿宋"/>
          <w:sz w:val="32"/>
          <w:szCs w:val="32"/>
          <w:lang w:val="en-US" w:eastAsia="zh-CN"/>
        </w:rPr>
        <w:t>〈</w:t>
      </w:r>
      <w:r>
        <w:rPr>
          <w:rFonts w:hint="eastAsia" w:ascii="Times New Roman" w:hAnsi="Times New Roman" w:eastAsia="仿宋_GB2312" w:cs="Times New Roman"/>
          <w:sz w:val="32"/>
          <w:szCs w:val="32"/>
          <w:lang w:val="en-US" w:eastAsia="zh-CN"/>
        </w:rPr>
        <w:t>贵州省农村生活污水处理设施运行维护管理办法（试行）</w:t>
      </w:r>
      <w:r>
        <w:rPr>
          <w:rFonts w:hint="eastAsia" w:ascii="仿宋" w:hAnsi="仿宋" w:eastAsia="仿宋" w:cs="仿宋"/>
          <w:sz w:val="32"/>
          <w:szCs w:val="32"/>
          <w:lang w:val="en-US" w:eastAsia="zh-CN"/>
        </w:rPr>
        <w:t>〉</w:t>
      </w:r>
      <w:r>
        <w:rPr>
          <w:rFonts w:hint="eastAsia" w:ascii="Times New Roman" w:hAnsi="Times New Roman" w:eastAsia="仿宋_GB2312" w:cs="Times New Roman"/>
          <w:sz w:val="32"/>
          <w:szCs w:val="32"/>
          <w:lang w:val="en-US" w:eastAsia="zh-CN"/>
        </w:rPr>
        <w:t>的通知》（黔环土〔2022〕11号）《贵州省农村生活污水处理设施建设与运行维护技术指南（试行）的通知》《贵州省农村生活污水处理设施维修改造技术指南（试行）》和《贵州省农村生活污水资源化利用技术手册（试行）》等文件要求，落实农村生活污水处理运维管理，保障设施长效运行，全面开展贵安新区农村生活污水处理设施运行维护工作。</w:t>
      </w:r>
    </w:p>
    <w:p w14:paraId="39E4DDC4">
      <w:pPr>
        <w:keepNext w:val="0"/>
        <w:keepLines w:val="0"/>
        <w:pageBreakBefore w:val="0"/>
        <w:widowControl w:val="0"/>
        <w:kinsoku/>
        <w:wordWrap/>
        <w:overflowPunct/>
        <w:topLinePunct w:val="0"/>
        <w:autoSpaceDE/>
        <w:autoSpaceDN/>
        <w:bidi w:val="0"/>
        <w:spacing w:line="560" w:lineRule="exact"/>
        <w:ind w:left="0" w:firstLine="644" w:firstLineChars="200"/>
        <w:textAlignment w:val="auto"/>
        <w:rPr>
          <w:rFonts w:hint="eastAsia" w:ascii="黑体" w:eastAsia="黑体" w:cs="黑体"/>
          <w:color w:val="000000"/>
          <w:sz w:val="32"/>
          <w:szCs w:val="32"/>
        </w:rPr>
      </w:pPr>
      <w:r>
        <w:rPr>
          <w:rFonts w:hint="eastAsia" w:ascii="黑体" w:eastAsia="黑体" w:cs="黑体"/>
          <w:color w:val="000000"/>
          <w:sz w:val="32"/>
          <w:szCs w:val="32"/>
          <w:lang w:eastAsia="zh-CN"/>
        </w:rPr>
        <w:t>三、</w:t>
      </w:r>
      <w:r>
        <w:rPr>
          <w:rFonts w:hint="eastAsia" w:ascii="黑体" w:eastAsia="黑体" w:cs="黑体"/>
          <w:color w:val="000000"/>
          <w:sz w:val="32"/>
          <w:szCs w:val="32"/>
        </w:rPr>
        <w:t>实施主体</w:t>
      </w:r>
    </w:p>
    <w:p w14:paraId="2354ABE2">
      <w:pPr>
        <w:pStyle w:val="8"/>
        <w:keepNext w:val="0"/>
        <w:keepLines w:val="0"/>
        <w:pageBreakBefore w:val="0"/>
        <w:widowControl w:val="0"/>
        <w:kinsoku/>
        <w:wordWrap/>
        <w:overflowPunct/>
        <w:topLinePunct w:val="0"/>
        <w:autoSpaceDE/>
        <w:autoSpaceDN/>
        <w:bidi w:val="0"/>
        <w:spacing w:line="560" w:lineRule="exact"/>
        <w:ind w:firstLine="624"/>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贵安新区生态环境局。</w:t>
      </w:r>
    </w:p>
    <w:p w14:paraId="0E3C4207">
      <w:pPr>
        <w:keepNext w:val="0"/>
        <w:keepLines w:val="0"/>
        <w:pageBreakBefore w:val="0"/>
        <w:widowControl w:val="0"/>
        <w:kinsoku/>
        <w:wordWrap/>
        <w:overflowPunct/>
        <w:topLinePunct w:val="0"/>
        <w:autoSpaceDE/>
        <w:autoSpaceDN/>
        <w:bidi w:val="0"/>
        <w:spacing w:line="560" w:lineRule="exact"/>
        <w:ind w:left="0" w:firstLine="644" w:firstLineChars="200"/>
        <w:textAlignment w:val="auto"/>
        <w:rPr>
          <w:rFonts w:hint="eastAsia" w:ascii="黑体" w:eastAsia="黑体" w:cs="黑体"/>
          <w:color w:val="000000"/>
          <w:sz w:val="32"/>
          <w:szCs w:val="32"/>
        </w:rPr>
      </w:pPr>
      <w:r>
        <w:rPr>
          <w:rFonts w:hint="eastAsia" w:ascii="黑体" w:eastAsia="黑体" w:cs="黑体"/>
          <w:color w:val="000000"/>
          <w:sz w:val="32"/>
          <w:szCs w:val="32"/>
          <w:lang w:eastAsia="zh-CN"/>
        </w:rPr>
        <w:t>四、</w:t>
      </w:r>
      <w:r>
        <w:rPr>
          <w:rFonts w:hint="eastAsia" w:ascii="黑体" w:eastAsia="黑体" w:cs="黑体"/>
          <w:color w:val="000000"/>
          <w:sz w:val="32"/>
          <w:szCs w:val="32"/>
        </w:rPr>
        <w:t>实施方案</w:t>
      </w:r>
    </w:p>
    <w:p w14:paraId="2F04BC63">
      <w:pPr>
        <w:keepNext w:val="0"/>
        <w:keepLines w:val="0"/>
        <w:pageBreakBefore w:val="0"/>
        <w:widowControl w:val="0"/>
        <w:kinsoku/>
        <w:wordWrap/>
        <w:overflowPunct/>
        <w:topLinePunct w:val="0"/>
        <w:autoSpaceDE/>
        <w:autoSpaceDN/>
        <w:bidi w:val="0"/>
        <w:spacing w:line="560" w:lineRule="exact"/>
        <w:ind w:left="0" w:firstLine="644" w:firstLineChars="200"/>
        <w:textAlignment w:val="auto"/>
        <w:rPr>
          <w:rFonts w:hint="eastAsia" w:ascii="楷体_GB2312" w:eastAsia="楷体_GB2312" w:cs="楷体_GB2312"/>
          <w:color w:val="000000"/>
          <w:sz w:val="32"/>
          <w:szCs w:val="32"/>
          <w:lang w:eastAsia="zh-CN"/>
        </w:rPr>
      </w:pPr>
      <w:r>
        <w:rPr>
          <w:rFonts w:hint="eastAsia" w:ascii="楷体_GB2312" w:eastAsia="楷体_GB2312" w:cs="楷体_GB2312"/>
          <w:color w:val="000000"/>
          <w:sz w:val="32"/>
          <w:szCs w:val="32"/>
        </w:rPr>
        <w:t>（一）</w:t>
      </w:r>
      <w:r>
        <w:rPr>
          <w:rFonts w:hint="eastAsia" w:ascii="楷体_GB2312" w:eastAsia="楷体_GB2312" w:cs="楷体_GB2312"/>
          <w:color w:val="000000"/>
          <w:sz w:val="32"/>
          <w:szCs w:val="32"/>
          <w:lang w:eastAsia="zh-CN"/>
        </w:rPr>
        <w:t>工作目标</w:t>
      </w:r>
    </w:p>
    <w:p w14:paraId="100CA36E">
      <w:pPr>
        <w:pStyle w:val="8"/>
        <w:keepNext w:val="0"/>
        <w:keepLines w:val="0"/>
        <w:pageBreakBefore w:val="0"/>
        <w:widowControl w:val="0"/>
        <w:kinsoku/>
        <w:wordWrap/>
        <w:overflowPunct/>
        <w:topLinePunct w:val="0"/>
        <w:autoSpaceDE/>
        <w:autoSpaceDN/>
        <w:bidi w:val="0"/>
        <w:spacing w:line="560" w:lineRule="exact"/>
        <w:ind w:firstLine="624"/>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sz w:val="32"/>
          <w:szCs w:val="32"/>
          <w:lang w:val="en-US" w:eastAsia="zh-CN"/>
        </w:rPr>
        <w:t>按照贵阳贵安农村生活污水治理工作的总体部署要求，坚持“政府主导、群众参与、规范管理、因地制宜、注重实效”原则，采取全方位，多层次、广覆盖地开展农村生活污水治理设施运行长效维护管理，实现设施完好、运行正常、管理规范、水质达标的目标。</w:t>
      </w:r>
    </w:p>
    <w:p w14:paraId="1B8D7B44">
      <w:pPr>
        <w:keepNext w:val="0"/>
        <w:keepLines w:val="0"/>
        <w:pageBreakBefore w:val="0"/>
        <w:widowControl w:val="0"/>
        <w:kinsoku/>
        <w:wordWrap/>
        <w:overflowPunct/>
        <w:topLinePunct w:val="0"/>
        <w:autoSpaceDE/>
        <w:autoSpaceDN/>
        <w:bidi w:val="0"/>
        <w:spacing w:line="560" w:lineRule="exact"/>
        <w:ind w:left="0" w:firstLine="644" w:firstLineChars="200"/>
        <w:textAlignment w:val="auto"/>
        <w:rPr>
          <w:rFonts w:hint="eastAsia" w:ascii="楷体_GB2312" w:eastAsia="楷体_GB2312" w:cs="楷体_GB2312"/>
          <w:color w:val="000000"/>
          <w:sz w:val="32"/>
          <w:szCs w:val="32"/>
          <w:lang w:eastAsia="zh-CN"/>
        </w:rPr>
      </w:pPr>
      <w:r>
        <w:rPr>
          <w:rFonts w:hint="eastAsia" w:ascii="楷体_GB2312" w:eastAsia="楷体_GB2312" w:cs="楷体_GB2312"/>
          <w:color w:val="000000"/>
          <w:sz w:val="32"/>
          <w:szCs w:val="32"/>
          <w:lang w:eastAsia="zh-CN"/>
        </w:rPr>
        <w:t>（二）实施方式</w:t>
      </w:r>
    </w:p>
    <w:p w14:paraId="7FC10D8B">
      <w:pPr>
        <w:pStyle w:val="8"/>
        <w:keepNext w:val="0"/>
        <w:keepLines w:val="0"/>
        <w:pageBreakBefore w:val="0"/>
        <w:widowControl w:val="0"/>
        <w:kinsoku/>
        <w:wordWrap/>
        <w:overflowPunct/>
        <w:topLinePunct w:val="0"/>
        <w:autoSpaceDE/>
        <w:autoSpaceDN/>
        <w:bidi w:val="0"/>
        <w:spacing w:line="560" w:lineRule="exact"/>
        <w:ind w:firstLine="624"/>
        <w:textAlignment w:val="auto"/>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val="en-US" w:eastAsia="zh-CN"/>
        </w:rPr>
        <w:t>1.分类管理。</w:t>
      </w:r>
      <w:r>
        <w:rPr>
          <w:rFonts w:hint="eastAsia" w:ascii="Times New Roman" w:hAnsi="Times New Roman" w:eastAsia="仿宋_GB2312" w:cs="Times New Roman"/>
          <w:sz w:val="32"/>
          <w:szCs w:val="32"/>
          <w:lang w:eastAsia="zh-CN"/>
        </w:rPr>
        <w:t>贵安新区农村生活污水处理设施分为集中式污水处理设施和</w:t>
      </w:r>
      <w:r>
        <w:rPr>
          <w:rFonts w:hint="eastAsia" w:ascii="Times New Roman" w:hAnsi="Times New Roman" w:eastAsia="仿宋_GB2312" w:cs="Times New Roman"/>
          <w:sz w:val="32"/>
          <w:szCs w:val="32"/>
          <w:lang w:val="en-US" w:eastAsia="zh-CN"/>
        </w:rPr>
        <w:t>分</w:t>
      </w:r>
      <w:r>
        <w:rPr>
          <w:rFonts w:hint="eastAsia" w:ascii="Times New Roman" w:hAnsi="Times New Roman" w:eastAsia="仿宋_GB2312" w:cs="Times New Roman"/>
          <w:sz w:val="32"/>
          <w:szCs w:val="32"/>
          <w:lang w:eastAsia="zh-CN"/>
        </w:rPr>
        <w:t>散式处理设施，集中式污水处理设施包括AAO生物反应池、MBR一体化污水处理设备等动力型处理设施及日处理能力10立方米每天的人工湿地;分散式污水处理设施主要为日处理能力小于10立方米每天的、规模较小、工艺简单、运维技术要求较低的人工湿地、氧化塘等无动力设施。</w:t>
      </w:r>
    </w:p>
    <w:p w14:paraId="3CCF3996">
      <w:pPr>
        <w:pStyle w:val="8"/>
        <w:keepNext w:val="0"/>
        <w:keepLines w:val="0"/>
        <w:pageBreakBefore w:val="0"/>
        <w:widowControl w:val="0"/>
        <w:kinsoku/>
        <w:wordWrap/>
        <w:overflowPunct/>
        <w:topLinePunct w:val="0"/>
        <w:autoSpaceDE/>
        <w:autoSpaceDN/>
        <w:bidi w:val="0"/>
        <w:spacing w:line="560" w:lineRule="exact"/>
        <w:ind w:firstLine="624"/>
        <w:jc w:val="both"/>
        <w:textAlignment w:val="auto"/>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2.分级管理。集中式污水处理设施由生态环境局统一委托专业技术单位运行管理，分散式污水处理设施由乡镇（街道）统筹、村支两委及农户自行管理，贵安新区各相关部门提供技术支持。各乡镇（街道）针对分散式污水处理设施要制定细化管理办法，将日常巡查、日常监管、日常维护工作责任落实到各村、各户。</w:t>
      </w:r>
    </w:p>
    <w:p w14:paraId="069A25DF">
      <w:pPr>
        <w:keepNext w:val="0"/>
        <w:keepLines w:val="0"/>
        <w:pageBreakBefore w:val="0"/>
        <w:widowControl w:val="0"/>
        <w:kinsoku/>
        <w:wordWrap/>
        <w:overflowPunct/>
        <w:topLinePunct w:val="0"/>
        <w:autoSpaceDE/>
        <w:autoSpaceDN/>
        <w:bidi w:val="0"/>
        <w:spacing w:line="560" w:lineRule="exact"/>
        <w:ind w:left="0" w:firstLine="644" w:firstLineChars="200"/>
        <w:textAlignment w:val="auto"/>
        <w:rPr>
          <w:rFonts w:hint="eastAsia" w:ascii="楷体_GB2312" w:eastAsia="楷体_GB2312" w:cs="楷体_GB2312"/>
          <w:color w:val="000000"/>
          <w:sz w:val="32"/>
          <w:szCs w:val="32"/>
          <w:lang w:eastAsia="zh-CN"/>
        </w:rPr>
      </w:pPr>
      <w:r>
        <w:rPr>
          <w:rFonts w:hint="eastAsia" w:ascii="楷体_GB2312" w:eastAsia="楷体_GB2312" w:cs="楷体_GB2312"/>
          <w:color w:val="000000"/>
          <w:sz w:val="32"/>
          <w:szCs w:val="32"/>
          <w:lang w:eastAsia="zh-CN"/>
        </w:rPr>
        <w:t>（三）进度安排及阶段目标</w:t>
      </w:r>
    </w:p>
    <w:p w14:paraId="549BA9E3">
      <w:pPr>
        <w:pStyle w:val="8"/>
        <w:keepNext w:val="0"/>
        <w:keepLines w:val="0"/>
        <w:pageBreakBefore w:val="0"/>
        <w:widowControl w:val="0"/>
        <w:kinsoku/>
        <w:wordWrap/>
        <w:overflowPunct/>
        <w:topLinePunct w:val="0"/>
        <w:autoSpaceDE/>
        <w:autoSpaceDN/>
        <w:bidi w:val="0"/>
        <w:spacing w:line="560" w:lineRule="exact"/>
        <w:ind w:firstLine="644" w:firstLineChars="200"/>
        <w:textAlignment w:val="auto"/>
        <w:rPr>
          <w:rFonts w:hint="eastAsia" w:ascii="Times New Roman" w:hAnsi="Times New Roman" w:eastAsia="仿宋_GB2312" w:cs="Times New Roman"/>
          <w:b w:val="0"/>
          <w:bCs w:val="0"/>
          <w:sz w:val="32"/>
          <w:szCs w:val="32"/>
          <w:lang w:val="en-US" w:eastAsia="zh-CN"/>
        </w:rPr>
      </w:pPr>
      <w:r>
        <w:rPr>
          <w:rFonts w:hint="eastAsia" w:ascii="Times New Roman" w:hAnsi="Times New Roman" w:eastAsia="仿宋_GB2312" w:cs="Times New Roman"/>
          <w:b w:val="0"/>
          <w:bCs w:val="0"/>
          <w:sz w:val="32"/>
          <w:szCs w:val="32"/>
          <w:lang w:val="en-US" w:eastAsia="zh-CN"/>
        </w:rPr>
        <w:t>1.启动阶段</w:t>
      </w:r>
    </w:p>
    <w:p w14:paraId="6965A06C">
      <w:pPr>
        <w:pStyle w:val="8"/>
        <w:keepNext w:val="0"/>
        <w:keepLines w:val="0"/>
        <w:pageBreakBefore w:val="0"/>
        <w:widowControl w:val="0"/>
        <w:kinsoku/>
        <w:wordWrap/>
        <w:overflowPunct/>
        <w:topLinePunct w:val="0"/>
        <w:autoSpaceDE/>
        <w:autoSpaceDN/>
        <w:bidi w:val="0"/>
        <w:spacing w:line="560" w:lineRule="exact"/>
        <w:ind w:firstLine="644"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由贵安新区生态环境局</w:t>
      </w:r>
      <w:bookmarkStart w:id="0" w:name="_GoBack"/>
      <w:bookmarkEnd w:id="0"/>
      <w:r>
        <w:rPr>
          <w:rFonts w:hint="eastAsia" w:ascii="Times New Roman" w:hAnsi="Times New Roman" w:eastAsia="仿宋_GB2312" w:cs="Times New Roman"/>
          <w:sz w:val="32"/>
          <w:szCs w:val="32"/>
          <w:lang w:val="en-US" w:eastAsia="zh-CN"/>
        </w:rPr>
        <w:t>牵头编制，新区办公室印发实施《贵安新区农村生活污水处理设施运行维护管理工作方案》。</w:t>
      </w:r>
    </w:p>
    <w:p w14:paraId="753CE506">
      <w:pPr>
        <w:pStyle w:val="8"/>
        <w:keepNext w:val="0"/>
        <w:keepLines w:val="0"/>
        <w:pageBreakBefore w:val="0"/>
        <w:widowControl w:val="0"/>
        <w:kinsoku/>
        <w:wordWrap/>
        <w:overflowPunct/>
        <w:topLinePunct w:val="0"/>
        <w:autoSpaceDE/>
        <w:autoSpaceDN/>
        <w:bidi w:val="0"/>
        <w:spacing w:line="560" w:lineRule="exact"/>
        <w:ind w:firstLine="624"/>
        <w:textAlignment w:val="auto"/>
        <w:rPr>
          <w:rFonts w:hint="eastAsia" w:ascii="Times New Roman" w:hAnsi="Times New Roman" w:eastAsia="仿宋_GB2312" w:cs="Times New Roman"/>
          <w:b w:val="0"/>
          <w:bCs w:val="0"/>
          <w:sz w:val="32"/>
          <w:szCs w:val="32"/>
          <w:lang w:val="en-US" w:eastAsia="zh-CN"/>
        </w:rPr>
      </w:pPr>
      <w:r>
        <w:rPr>
          <w:rFonts w:hint="eastAsia" w:ascii="Times New Roman" w:hAnsi="Times New Roman" w:eastAsia="仿宋_GB2312" w:cs="Times New Roman"/>
          <w:b w:val="0"/>
          <w:bCs w:val="0"/>
          <w:sz w:val="32"/>
          <w:szCs w:val="32"/>
          <w:lang w:val="en-US" w:eastAsia="zh-CN"/>
        </w:rPr>
        <w:t>2.推进阶段</w:t>
      </w:r>
    </w:p>
    <w:p w14:paraId="1A75F036">
      <w:pPr>
        <w:pStyle w:val="8"/>
        <w:keepNext w:val="0"/>
        <w:keepLines w:val="0"/>
        <w:pageBreakBefore w:val="0"/>
        <w:widowControl w:val="0"/>
        <w:kinsoku/>
        <w:wordWrap/>
        <w:overflowPunct/>
        <w:topLinePunct w:val="0"/>
        <w:autoSpaceDE/>
        <w:autoSpaceDN/>
        <w:bidi w:val="0"/>
        <w:spacing w:line="560" w:lineRule="exact"/>
        <w:ind w:firstLine="644"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由生态环境局结合实际，编制农村生活污水处理设施运行维护项目实施方案报送财政金融局开展预算评审，通过政府采购完成招投标确定第三方运行维护单位。</w:t>
      </w:r>
    </w:p>
    <w:p w14:paraId="22E9ECDF">
      <w:pPr>
        <w:pStyle w:val="8"/>
        <w:keepNext w:val="0"/>
        <w:keepLines w:val="0"/>
        <w:pageBreakBefore w:val="0"/>
        <w:widowControl w:val="0"/>
        <w:kinsoku/>
        <w:wordWrap/>
        <w:overflowPunct/>
        <w:topLinePunct w:val="0"/>
        <w:autoSpaceDE/>
        <w:autoSpaceDN/>
        <w:bidi w:val="0"/>
        <w:spacing w:line="560" w:lineRule="exact"/>
        <w:ind w:firstLine="644" w:firstLineChars="200"/>
        <w:textAlignment w:val="auto"/>
        <w:rPr>
          <w:rFonts w:hint="eastAsia" w:ascii="Times New Roman" w:hAnsi="Times New Roman" w:eastAsia="仿宋_GB2312" w:cs="Times New Roman"/>
          <w:b w:val="0"/>
          <w:bCs w:val="0"/>
          <w:sz w:val="32"/>
          <w:szCs w:val="32"/>
          <w:lang w:val="en-US" w:eastAsia="zh-CN"/>
        </w:rPr>
      </w:pPr>
      <w:r>
        <w:rPr>
          <w:rFonts w:hint="eastAsia" w:ascii="Times New Roman" w:hAnsi="Times New Roman" w:eastAsia="仿宋_GB2312" w:cs="Times New Roman"/>
          <w:b w:val="0"/>
          <w:bCs w:val="0"/>
          <w:sz w:val="32"/>
          <w:szCs w:val="32"/>
          <w:lang w:val="en-US" w:eastAsia="zh-CN"/>
        </w:rPr>
        <w:t>3.实施阶段</w:t>
      </w:r>
    </w:p>
    <w:p w14:paraId="25F689F7">
      <w:pPr>
        <w:pStyle w:val="8"/>
        <w:keepNext w:val="0"/>
        <w:keepLines w:val="0"/>
        <w:pageBreakBefore w:val="0"/>
        <w:widowControl w:val="0"/>
        <w:kinsoku/>
        <w:wordWrap/>
        <w:overflowPunct/>
        <w:topLinePunct w:val="0"/>
        <w:autoSpaceDE/>
        <w:autoSpaceDN/>
        <w:bidi w:val="0"/>
        <w:spacing w:line="560" w:lineRule="exact"/>
        <w:ind w:firstLine="624"/>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根据《贵州省农村生活污水处理设施建设与运行维护技术指南（试行）》对农村生活污水处理设施运行维护的具体要求，开展农村生活污水处理设施的运行维护，内容包括污水收集系统、污水处理系统及其它附属设施的运行评估、日常巡检、维修养护、水质水量检测、数据记录、安全与应急管理以及其它保障设施正常运行的必要措施。由生态环境局开展监督和考核。</w:t>
      </w:r>
    </w:p>
    <w:p w14:paraId="04FE20A6">
      <w:pPr>
        <w:pStyle w:val="8"/>
        <w:keepNext w:val="0"/>
        <w:keepLines w:val="0"/>
        <w:pageBreakBefore w:val="0"/>
        <w:widowControl w:val="0"/>
        <w:kinsoku/>
        <w:wordWrap/>
        <w:overflowPunct/>
        <w:topLinePunct w:val="0"/>
        <w:autoSpaceDE/>
        <w:autoSpaceDN/>
        <w:bidi w:val="0"/>
        <w:spacing w:line="560" w:lineRule="exact"/>
        <w:ind w:firstLine="644" w:firstLineChars="200"/>
        <w:textAlignment w:val="auto"/>
        <w:rPr>
          <w:rFonts w:hint="eastAsia" w:ascii="Times New Roman" w:hAnsi="Times New Roman" w:eastAsia="仿宋_GB2312" w:cs="Times New Roman"/>
          <w:b w:val="0"/>
          <w:bCs w:val="0"/>
          <w:sz w:val="32"/>
          <w:szCs w:val="32"/>
          <w:lang w:val="en-US" w:eastAsia="zh-CN"/>
        </w:rPr>
      </w:pPr>
      <w:r>
        <w:rPr>
          <w:rFonts w:hint="eastAsia" w:ascii="Times New Roman" w:hAnsi="Times New Roman" w:eastAsia="仿宋_GB2312" w:cs="Times New Roman"/>
          <w:b w:val="0"/>
          <w:bCs w:val="0"/>
          <w:sz w:val="32"/>
          <w:szCs w:val="32"/>
          <w:lang w:val="en-US" w:eastAsia="zh-CN"/>
        </w:rPr>
        <w:t>4.总结阶段</w:t>
      </w:r>
    </w:p>
    <w:p w14:paraId="31587825">
      <w:pPr>
        <w:pStyle w:val="8"/>
        <w:keepNext w:val="0"/>
        <w:keepLines w:val="0"/>
        <w:pageBreakBefore w:val="0"/>
        <w:widowControl w:val="0"/>
        <w:kinsoku/>
        <w:wordWrap/>
        <w:overflowPunct/>
        <w:topLinePunct w:val="0"/>
        <w:autoSpaceDE/>
        <w:autoSpaceDN/>
        <w:bidi w:val="0"/>
        <w:spacing w:line="560" w:lineRule="exact"/>
        <w:ind w:firstLine="644"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全面总结农村生活污水处理设施运维实施后取得的生态效益、社会效益，分析实际运行过程中存在的弊端和不足，采取有效措施进一步优化运维模式，确保设施长效运行。</w:t>
      </w:r>
    </w:p>
    <w:p w14:paraId="58899E89">
      <w:pPr>
        <w:keepNext w:val="0"/>
        <w:keepLines w:val="0"/>
        <w:pageBreakBefore w:val="0"/>
        <w:widowControl w:val="0"/>
        <w:kinsoku/>
        <w:wordWrap/>
        <w:overflowPunct/>
        <w:topLinePunct w:val="0"/>
        <w:autoSpaceDE/>
        <w:autoSpaceDN/>
        <w:bidi w:val="0"/>
        <w:spacing w:line="560" w:lineRule="exact"/>
        <w:ind w:left="0" w:firstLine="644" w:firstLineChars="200"/>
        <w:textAlignment w:val="auto"/>
        <w:rPr>
          <w:rFonts w:hint="eastAsia" w:ascii="楷体_GB2312" w:eastAsia="楷体_GB2312" w:cs="楷体_GB2312"/>
          <w:color w:val="000000"/>
          <w:sz w:val="32"/>
          <w:szCs w:val="32"/>
          <w:lang w:eastAsia="zh-CN"/>
        </w:rPr>
      </w:pPr>
      <w:r>
        <w:rPr>
          <w:rFonts w:hint="eastAsia" w:ascii="楷体_GB2312" w:eastAsia="楷体_GB2312" w:cs="楷体_GB2312"/>
          <w:color w:val="000000"/>
          <w:sz w:val="32"/>
          <w:szCs w:val="32"/>
          <w:lang w:eastAsia="zh-CN"/>
        </w:rPr>
        <w:t>（四）预期成果</w:t>
      </w:r>
    </w:p>
    <w:p w14:paraId="3DACDAD6">
      <w:pPr>
        <w:pStyle w:val="8"/>
        <w:keepNext w:val="0"/>
        <w:keepLines w:val="0"/>
        <w:pageBreakBefore w:val="0"/>
        <w:widowControl w:val="0"/>
        <w:kinsoku/>
        <w:wordWrap/>
        <w:overflowPunct/>
        <w:topLinePunct w:val="0"/>
        <w:autoSpaceDE/>
        <w:autoSpaceDN/>
        <w:bidi w:val="0"/>
        <w:spacing w:line="560" w:lineRule="exact"/>
        <w:ind w:firstLine="624"/>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通过购买农村生活污水处理设施运维服务，加强对辖区78套污水处理设施运维管理，规范运营机制，有序收集村民生活污水，经处理系统达标排放，降低环境承载负荷；同时农村生产环境、生活环境和生活质量得以改善和提高，有利于人民精神生活的健康发展。</w:t>
      </w:r>
    </w:p>
    <w:p w14:paraId="2DF79DC0">
      <w:pPr>
        <w:keepNext w:val="0"/>
        <w:keepLines w:val="0"/>
        <w:pageBreakBefore w:val="0"/>
        <w:widowControl w:val="0"/>
        <w:kinsoku/>
        <w:wordWrap/>
        <w:overflowPunct/>
        <w:topLinePunct w:val="0"/>
        <w:autoSpaceDE/>
        <w:autoSpaceDN/>
        <w:bidi w:val="0"/>
        <w:spacing w:line="560" w:lineRule="exact"/>
        <w:ind w:left="0" w:firstLine="644" w:firstLineChars="200"/>
        <w:textAlignment w:val="auto"/>
        <w:rPr>
          <w:rFonts w:hint="eastAsia" w:ascii="黑体" w:eastAsia="黑体" w:cs="黑体"/>
          <w:color w:val="000000"/>
          <w:sz w:val="32"/>
          <w:szCs w:val="32"/>
        </w:rPr>
      </w:pPr>
      <w:r>
        <w:rPr>
          <w:rFonts w:hint="eastAsia" w:ascii="黑体" w:eastAsia="黑体" w:cs="黑体"/>
          <w:color w:val="000000"/>
          <w:sz w:val="32"/>
          <w:szCs w:val="32"/>
        </w:rPr>
        <w:t>五、实施周期</w:t>
      </w:r>
    </w:p>
    <w:p w14:paraId="6BCDEA6A">
      <w:pPr>
        <w:pStyle w:val="8"/>
        <w:keepNext w:val="0"/>
        <w:keepLines w:val="0"/>
        <w:pageBreakBefore w:val="0"/>
        <w:widowControl w:val="0"/>
        <w:kinsoku/>
        <w:wordWrap/>
        <w:overflowPunct/>
        <w:topLinePunct w:val="0"/>
        <w:autoSpaceDE/>
        <w:autoSpaceDN/>
        <w:bidi w:val="0"/>
        <w:spacing w:line="560" w:lineRule="exact"/>
        <w:ind w:firstLine="624"/>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b w:val="0"/>
          <w:bCs w:val="0"/>
          <w:sz w:val="32"/>
          <w:szCs w:val="32"/>
          <w:lang w:val="en-US" w:eastAsia="zh-CN"/>
        </w:rPr>
        <w:t>2024年11月起至2025年11月。</w:t>
      </w:r>
    </w:p>
    <w:p w14:paraId="4128F0A3">
      <w:pPr>
        <w:keepNext w:val="0"/>
        <w:keepLines w:val="0"/>
        <w:pageBreakBefore w:val="0"/>
        <w:widowControl w:val="0"/>
        <w:kinsoku/>
        <w:wordWrap/>
        <w:overflowPunct/>
        <w:topLinePunct w:val="0"/>
        <w:autoSpaceDE/>
        <w:autoSpaceDN/>
        <w:bidi w:val="0"/>
        <w:spacing w:line="560" w:lineRule="exact"/>
        <w:ind w:left="0" w:firstLine="644" w:firstLineChars="200"/>
        <w:textAlignment w:val="auto"/>
        <w:rPr>
          <w:rFonts w:hint="eastAsia" w:ascii="黑体" w:eastAsia="黑体" w:cs="黑体"/>
          <w:color w:val="000000"/>
          <w:sz w:val="32"/>
          <w:szCs w:val="32"/>
        </w:rPr>
      </w:pPr>
      <w:r>
        <w:rPr>
          <w:rFonts w:hint="eastAsia" w:ascii="黑体" w:eastAsia="黑体" w:cs="黑体"/>
          <w:color w:val="000000"/>
          <w:sz w:val="32"/>
          <w:szCs w:val="32"/>
        </w:rPr>
        <w:t>六、年度预算计划</w:t>
      </w:r>
    </w:p>
    <w:p w14:paraId="3089D3E2">
      <w:pPr>
        <w:pStyle w:val="8"/>
        <w:keepNext w:val="0"/>
        <w:keepLines w:val="0"/>
        <w:pageBreakBefore w:val="0"/>
        <w:widowControl w:val="0"/>
        <w:kinsoku/>
        <w:wordWrap/>
        <w:overflowPunct/>
        <w:topLinePunct w:val="0"/>
        <w:autoSpaceDE/>
        <w:autoSpaceDN/>
        <w:bidi w:val="0"/>
        <w:spacing w:line="560" w:lineRule="exact"/>
        <w:ind w:firstLine="624"/>
        <w:textAlignment w:val="auto"/>
        <w:rPr>
          <w:rFonts w:hint="eastAsia" w:ascii="Times New Roman" w:hAnsi="Times New Roman" w:eastAsia="仿宋_GB2312" w:cs="Times New Roman"/>
          <w:b w:val="0"/>
          <w:bCs w:val="0"/>
          <w:kern w:val="2"/>
          <w:sz w:val="32"/>
          <w:szCs w:val="32"/>
          <w:lang w:val="en-US" w:eastAsia="zh-CN" w:bidi="ar-SA"/>
        </w:rPr>
      </w:pPr>
      <w:r>
        <w:rPr>
          <w:rFonts w:hint="eastAsia" w:ascii="Times New Roman" w:hAnsi="Times New Roman" w:eastAsia="仿宋_GB2312" w:cs="Times New Roman"/>
          <w:b w:val="0"/>
          <w:bCs w:val="0"/>
          <w:kern w:val="2"/>
          <w:sz w:val="32"/>
          <w:szCs w:val="32"/>
          <w:lang w:val="en-US" w:eastAsia="zh-CN" w:bidi="ar-SA"/>
        </w:rPr>
        <w:t>2025年预算：一般公共预算241.56万元。</w:t>
      </w:r>
    </w:p>
    <w:p w14:paraId="12B02EA3">
      <w:pPr>
        <w:keepNext w:val="0"/>
        <w:keepLines w:val="0"/>
        <w:pageBreakBefore w:val="0"/>
        <w:widowControl w:val="0"/>
        <w:kinsoku/>
        <w:wordWrap/>
        <w:overflowPunct/>
        <w:topLinePunct w:val="0"/>
        <w:autoSpaceDE/>
        <w:autoSpaceDN/>
        <w:bidi w:val="0"/>
        <w:spacing w:line="560" w:lineRule="exact"/>
        <w:ind w:left="0" w:firstLine="644" w:firstLineChars="200"/>
        <w:textAlignment w:val="auto"/>
        <w:rPr>
          <w:rFonts w:hint="eastAsia" w:ascii="黑体" w:eastAsia="黑体" w:cs="黑体"/>
          <w:color w:val="000000"/>
          <w:sz w:val="32"/>
          <w:szCs w:val="32"/>
        </w:rPr>
      </w:pPr>
      <w:r>
        <w:rPr>
          <w:rFonts w:hint="eastAsia" w:ascii="黑体" w:eastAsia="黑体" w:cs="黑体"/>
          <w:color w:val="000000"/>
          <w:sz w:val="32"/>
          <w:szCs w:val="32"/>
        </w:rPr>
        <w:t>七、绩效目标和指标</w:t>
      </w:r>
    </w:p>
    <w:p w14:paraId="4A6C1FE5">
      <w:pPr>
        <w:pStyle w:val="8"/>
        <w:keepNext w:val="0"/>
        <w:keepLines w:val="0"/>
        <w:pageBreakBefore w:val="0"/>
        <w:widowControl w:val="0"/>
        <w:kinsoku/>
        <w:wordWrap/>
        <w:overflowPunct/>
        <w:topLinePunct w:val="0"/>
        <w:autoSpaceDE/>
        <w:autoSpaceDN/>
        <w:bidi w:val="0"/>
        <w:spacing w:line="560" w:lineRule="exact"/>
        <w:ind w:firstLine="624"/>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kern w:val="2"/>
          <w:sz w:val="32"/>
          <w:szCs w:val="32"/>
          <w:lang w:val="en-US" w:eastAsia="zh-CN" w:bidi="ar-SA"/>
        </w:rPr>
        <w:t>详见下表。</w:t>
      </w:r>
    </w:p>
    <w:p w14:paraId="6594C367">
      <w:pPr>
        <w:pStyle w:val="5"/>
        <w:keepNext w:val="0"/>
        <w:keepLines w:val="0"/>
        <w:pageBreakBefore w:val="0"/>
        <w:widowControl w:val="0"/>
        <w:kinsoku/>
        <w:wordWrap/>
        <w:overflowPunct/>
        <w:topLinePunct w:val="0"/>
        <w:autoSpaceDE/>
        <w:autoSpaceDN/>
        <w:bidi w:val="0"/>
        <w:spacing w:line="560" w:lineRule="exact"/>
        <w:textAlignment w:val="auto"/>
        <w:rPr>
          <w:color w:val="000000"/>
          <w:sz w:val="32"/>
          <w:szCs w:val="32"/>
        </w:rPr>
        <w:sectPr>
          <w:footerReference r:id="rId5" w:type="default"/>
          <w:pgSz w:w="16838" w:h="11906" w:orient="landscape"/>
          <w:pgMar w:top="1276" w:right="1020" w:bottom="1412" w:left="1020" w:header="851" w:footer="992" w:gutter="0"/>
          <w:pgBorders>
            <w:top w:val="none" w:sz="0" w:space="0"/>
            <w:left w:val="none" w:sz="0" w:space="0"/>
            <w:bottom w:val="none" w:sz="0" w:space="0"/>
            <w:right w:val="none" w:sz="0" w:space="0"/>
          </w:pgBorders>
          <w:pgNumType w:fmt="decimal"/>
          <w:cols w:space="720" w:num="1"/>
          <w:rtlGutter w:val="1"/>
          <w:docGrid w:type="linesAndChars" w:linePitch="317" w:charSpace="603"/>
        </w:sectPr>
      </w:pPr>
    </w:p>
    <w:tbl>
      <w:tblPr>
        <w:tblStyle w:val="10"/>
        <w:tblW w:w="150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52"/>
        <w:gridCol w:w="1494"/>
        <w:gridCol w:w="2527"/>
        <w:gridCol w:w="1298"/>
        <w:gridCol w:w="1298"/>
        <w:gridCol w:w="1"/>
        <w:gridCol w:w="1176"/>
        <w:gridCol w:w="2583"/>
        <w:gridCol w:w="3087"/>
      </w:tblGrid>
      <w:tr w14:paraId="66C86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 w:hRule="atLeast"/>
          <w:tblHeader/>
          <w:jc w:val="center"/>
        </w:trPr>
        <w:tc>
          <w:tcPr>
            <w:tcW w:w="15016" w:type="dxa"/>
            <w:gridSpan w:val="9"/>
            <w:tcBorders>
              <w:top w:val="nil"/>
              <w:left w:val="nil"/>
              <w:bottom w:val="nil"/>
              <w:right w:val="nil"/>
            </w:tcBorders>
            <w:shd w:val="clear" w:color="auto" w:fill="auto"/>
            <w:vAlign w:val="center"/>
          </w:tcPr>
          <w:p w14:paraId="28D4A3CC">
            <w:pPr>
              <w:keepNext w:val="0"/>
              <w:keepLines w:val="0"/>
              <w:widowControl/>
              <w:suppressLineNumbers w:val="0"/>
              <w:jc w:val="center"/>
              <w:textAlignment w:val="center"/>
              <w:rPr>
                <w:rFonts w:hint="eastAsia" w:ascii="宋体" w:hAnsi="宋体" w:eastAsia="宋体" w:cs="宋体"/>
                <w:b/>
                <w:bCs/>
                <w:i w:val="0"/>
                <w:iCs w:val="0"/>
                <w:color w:val="000000"/>
                <w:sz w:val="43"/>
                <w:szCs w:val="43"/>
                <w:u w:val="none"/>
              </w:rPr>
            </w:pPr>
            <w:r>
              <w:rPr>
                <w:rFonts w:hint="eastAsia" w:ascii="宋体" w:hAnsi="宋体" w:eastAsia="宋体" w:cs="宋体"/>
                <w:b/>
                <w:bCs/>
                <w:i w:val="0"/>
                <w:iCs w:val="0"/>
                <w:color w:val="000000"/>
                <w:kern w:val="0"/>
                <w:sz w:val="43"/>
                <w:szCs w:val="43"/>
                <w:u w:val="none"/>
                <w:lang w:val="en-US" w:eastAsia="zh-CN" w:bidi="ar"/>
              </w:rPr>
              <w:t>项目支出绩效目标申报表</w:t>
            </w:r>
          </w:p>
        </w:tc>
      </w:tr>
      <w:tr w14:paraId="14643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blHeader/>
          <w:jc w:val="center"/>
        </w:trPr>
        <w:tc>
          <w:tcPr>
            <w:tcW w:w="15016" w:type="dxa"/>
            <w:gridSpan w:val="9"/>
            <w:tcBorders>
              <w:top w:val="nil"/>
              <w:left w:val="nil"/>
              <w:bottom w:val="single" w:color="auto" w:sz="4" w:space="0"/>
              <w:right w:val="nil"/>
            </w:tcBorders>
            <w:shd w:val="clear" w:color="auto" w:fill="auto"/>
            <w:vAlign w:val="center"/>
          </w:tcPr>
          <w:p w14:paraId="101D3A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（2025年度）</w:t>
            </w:r>
          </w:p>
        </w:tc>
      </w:tr>
      <w:tr w14:paraId="6B272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blHeader/>
          <w:jc w:val="center"/>
        </w:trPr>
        <w:tc>
          <w:tcPr>
            <w:tcW w:w="3046"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712298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项目名称</w:t>
            </w:r>
          </w:p>
        </w:tc>
        <w:tc>
          <w:tcPr>
            <w:tcW w:w="5124"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14:paraId="057C06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农村生活污水处理设施运行维护项目</w:t>
            </w:r>
          </w:p>
        </w:tc>
        <w:tc>
          <w:tcPr>
            <w:tcW w:w="1176" w:type="dxa"/>
            <w:tcBorders>
              <w:top w:val="single" w:color="auto" w:sz="4" w:space="0"/>
              <w:left w:val="single" w:color="auto" w:sz="4" w:space="0"/>
              <w:bottom w:val="single" w:color="auto" w:sz="4" w:space="0"/>
              <w:right w:val="single" w:color="auto" w:sz="4" w:space="0"/>
            </w:tcBorders>
            <w:shd w:val="clear" w:color="auto" w:fill="auto"/>
            <w:vAlign w:val="center"/>
          </w:tcPr>
          <w:p w14:paraId="44922D4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项目编码</w:t>
            </w:r>
          </w:p>
        </w:tc>
        <w:tc>
          <w:tcPr>
            <w:tcW w:w="567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C4F78BC">
            <w:pPr>
              <w:jc w:val="center"/>
              <w:rPr>
                <w:rFonts w:hint="eastAsia" w:ascii="宋体" w:hAnsi="宋体" w:eastAsia="宋体" w:cs="宋体"/>
                <w:i w:val="0"/>
                <w:iCs w:val="0"/>
                <w:color w:val="000000"/>
                <w:sz w:val="20"/>
                <w:szCs w:val="20"/>
                <w:u w:val="none"/>
              </w:rPr>
            </w:pPr>
          </w:p>
        </w:tc>
      </w:tr>
      <w:tr w14:paraId="1188C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blHeader/>
          <w:jc w:val="center"/>
        </w:trPr>
        <w:tc>
          <w:tcPr>
            <w:tcW w:w="3046"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D64274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主管部门及代码</w:t>
            </w:r>
          </w:p>
        </w:tc>
        <w:tc>
          <w:tcPr>
            <w:tcW w:w="5124"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14:paraId="0A8540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204001/</w:t>
            </w:r>
            <w:r>
              <w:rPr>
                <w:rFonts w:hint="eastAsia" w:ascii="宋体" w:hAnsi="宋体" w:eastAsia="宋体" w:cs="宋体"/>
                <w:i w:val="0"/>
                <w:iCs w:val="0"/>
                <w:color w:val="000000"/>
                <w:kern w:val="0"/>
                <w:sz w:val="20"/>
                <w:szCs w:val="20"/>
                <w:u w:val="none"/>
                <w:lang w:val="en-US" w:eastAsia="zh-CN" w:bidi="ar"/>
              </w:rPr>
              <w:t>贵安新区生态环境局</w:t>
            </w:r>
          </w:p>
        </w:tc>
        <w:tc>
          <w:tcPr>
            <w:tcW w:w="1176" w:type="dxa"/>
            <w:tcBorders>
              <w:top w:val="single" w:color="auto" w:sz="4" w:space="0"/>
              <w:left w:val="single" w:color="auto" w:sz="4" w:space="0"/>
              <w:bottom w:val="single" w:color="auto" w:sz="4" w:space="0"/>
              <w:right w:val="single" w:color="auto" w:sz="4" w:space="0"/>
            </w:tcBorders>
            <w:shd w:val="clear" w:color="auto" w:fill="FFFFFF"/>
            <w:vAlign w:val="center"/>
          </w:tcPr>
          <w:p w14:paraId="6DE12E1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实施单位</w:t>
            </w:r>
          </w:p>
        </w:tc>
        <w:tc>
          <w:tcPr>
            <w:tcW w:w="567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D67F8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贵安新区生态环境局</w:t>
            </w:r>
          </w:p>
        </w:tc>
      </w:tr>
      <w:tr w14:paraId="274A9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3046" w:type="dxa"/>
            <w:gridSpan w:val="2"/>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4A93F09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资金来源</w:t>
            </w:r>
          </w:p>
        </w:tc>
        <w:tc>
          <w:tcPr>
            <w:tcW w:w="11970" w:type="dxa"/>
            <w:gridSpan w:val="7"/>
            <w:tcBorders>
              <w:top w:val="single" w:color="auto" w:sz="4" w:space="0"/>
              <w:left w:val="single" w:color="auto" w:sz="4" w:space="0"/>
              <w:bottom w:val="single" w:color="auto" w:sz="4" w:space="0"/>
              <w:right w:val="single" w:color="auto" w:sz="4" w:space="0"/>
            </w:tcBorders>
            <w:shd w:val="clear" w:color="auto" w:fill="FFFFFF"/>
            <w:vAlign w:val="center"/>
          </w:tcPr>
          <w:p w14:paraId="65100CC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年度资金情况</w:t>
            </w:r>
          </w:p>
        </w:tc>
      </w:tr>
      <w:tr w14:paraId="56B45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3046" w:type="dxa"/>
            <w:gridSpan w:val="2"/>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915A4B9">
            <w:pPr>
              <w:jc w:val="center"/>
              <w:rPr>
                <w:rFonts w:hint="eastAsia" w:ascii="宋体" w:hAnsi="宋体" w:eastAsia="宋体" w:cs="宋体"/>
                <w:b/>
                <w:bCs/>
                <w:i w:val="0"/>
                <w:iCs w:val="0"/>
                <w:color w:val="000000"/>
                <w:sz w:val="20"/>
                <w:szCs w:val="20"/>
                <w:u w:val="none"/>
              </w:rPr>
            </w:pPr>
          </w:p>
        </w:tc>
        <w:tc>
          <w:tcPr>
            <w:tcW w:w="3825"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E26A2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资金总额(元)：</w:t>
            </w:r>
          </w:p>
        </w:tc>
        <w:tc>
          <w:tcPr>
            <w:tcW w:w="8145"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5CAF33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2,415,600.00</w:t>
            </w:r>
          </w:p>
        </w:tc>
      </w:tr>
      <w:tr w14:paraId="48D44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3046" w:type="dxa"/>
            <w:gridSpan w:val="2"/>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27900B7C">
            <w:pPr>
              <w:jc w:val="center"/>
              <w:rPr>
                <w:rFonts w:hint="eastAsia" w:ascii="宋体" w:hAnsi="宋体" w:eastAsia="宋体" w:cs="宋体"/>
                <w:b/>
                <w:bCs/>
                <w:i w:val="0"/>
                <w:iCs w:val="0"/>
                <w:color w:val="000000"/>
                <w:sz w:val="20"/>
                <w:szCs w:val="20"/>
                <w:u w:val="none"/>
              </w:rPr>
            </w:pPr>
          </w:p>
        </w:tc>
        <w:tc>
          <w:tcPr>
            <w:tcW w:w="3825"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06159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财政拨款</w:t>
            </w:r>
          </w:p>
        </w:tc>
        <w:tc>
          <w:tcPr>
            <w:tcW w:w="8145"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0856DA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2,415,600.00</w:t>
            </w:r>
          </w:p>
        </w:tc>
      </w:tr>
      <w:tr w14:paraId="47016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3046" w:type="dxa"/>
            <w:gridSpan w:val="2"/>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48EB48FA">
            <w:pPr>
              <w:jc w:val="center"/>
              <w:rPr>
                <w:rFonts w:hint="eastAsia" w:ascii="宋体" w:hAnsi="宋体" w:eastAsia="宋体" w:cs="宋体"/>
                <w:b/>
                <w:bCs/>
                <w:i w:val="0"/>
                <w:iCs w:val="0"/>
                <w:color w:val="000000"/>
                <w:sz w:val="20"/>
                <w:szCs w:val="20"/>
                <w:u w:val="none"/>
              </w:rPr>
            </w:pPr>
          </w:p>
        </w:tc>
        <w:tc>
          <w:tcPr>
            <w:tcW w:w="3825"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864F4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其中：上级补助</w:t>
            </w:r>
          </w:p>
        </w:tc>
        <w:tc>
          <w:tcPr>
            <w:tcW w:w="8145"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1B016215">
            <w:pPr>
              <w:jc w:val="center"/>
              <w:rPr>
                <w:rFonts w:hint="eastAsia" w:ascii="宋体" w:hAnsi="宋体" w:eastAsia="宋体" w:cs="宋体"/>
                <w:i w:val="0"/>
                <w:iCs w:val="0"/>
                <w:color w:val="000000"/>
                <w:sz w:val="20"/>
                <w:szCs w:val="20"/>
                <w:u w:val="none"/>
              </w:rPr>
            </w:pPr>
          </w:p>
        </w:tc>
      </w:tr>
      <w:tr w14:paraId="1B6BA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3046" w:type="dxa"/>
            <w:gridSpan w:val="2"/>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9AB267D">
            <w:pPr>
              <w:jc w:val="center"/>
              <w:rPr>
                <w:rFonts w:hint="eastAsia" w:ascii="宋体" w:hAnsi="宋体" w:eastAsia="宋体" w:cs="宋体"/>
                <w:b/>
                <w:bCs/>
                <w:i w:val="0"/>
                <w:iCs w:val="0"/>
                <w:color w:val="000000"/>
                <w:sz w:val="20"/>
                <w:szCs w:val="20"/>
                <w:u w:val="none"/>
              </w:rPr>
            </w:pPr>
          </w:p>
        </w:tc>
        <w:tc>
          <w:tcPr>
            <w:tcW w:w="3825"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5079F0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本级安排</w:t>
            </w:r>
          </w:p>
        </w:tc>
        <w:tc>
          <w:tcPr>
            <w:tcW w:w="8145"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0EF120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2,415,600.00</w:t>
            </w:r>
          </w:p>
        </w:tc>
      </w:tr>
      <w:tr w14:paraId="36B9F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3046" w:type="dxa"/>
            <w:gridSpan w:val="2"/>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63A8343C">
            <w:pPr>
              <w:jc w:val="center"/>
              <w:rPr>
                <w:rFonts w:hint="eastAsia" w:ascii="宋体" w:hAnsi="宋体" w:eastAsia="宋体" w:cs="宋体"/>
                <w:b/>
                <w:bCs/>
                <w:i w:val="0"/>
                <w:iCs w:val="0"/>
                <w:color w:val="000000"/>
                <w:sz w:val="20"/>
                <w:szCs w:val="20"/>
                <w:u w:val="none"/>
              </w:rPr>
            </w:pPr>
          </w:p>
        </w:tc>
        <w:tc>
          <w:tcPr>
            <w:tcW w:w="3825"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83D06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其他资金</w:t>
            </w:r>
          </w:p>
        </w:tc>
        <w:tc>
          <w:tcPr>
            <w:tcW w:w="8145"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17184C1B">
            <w:pPr>
              <w:jc w:val="center"/>
              <w:rPr>
                <w:rFonts w:hint="eastAsia" w:ascii="宋体" w:hAnsi="宋体" w:eastAsia="宋体" w:cs="宋体"/>
                <w:i w:val="0"/>
                <w:iCs w:val="0"/>
                <w:color w:val="000000"/>
                <w:sz w:val="20"/>
                <w:szCs w:val="20"/>
                <w:u w:val="none"/>
              </w:rPr>
            </w:pPr>
          </w:p>
        </w:tc>
      </w:tr>
      <w:tr w14:paraId="49A3C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jc w:val="center"/>
        </w:trPr>
        <w:tc>
          <w:tcPr>
            <w:tcW w:w="155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95837A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绩效目标</w:t>
            </w:r>
          </w:p>
        </w:tc>
        <w:tc>
          <w:tcPr>
            <w:tcW w:w="13464" w:type="dxa"/>
            <w:gridSpan w:val="8"/>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82208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15"/>
                <w:rFonts w:hint="eastAsia" w:ascii="宋体" w:hAnsi="宋体" w:eastAsia="宋体" w:cs="宋体"/>
                <w:sz w:val="20"/>
                <w:szCs w:val="20"/>
                <w:lang w:val="en-US" w:eastAsia="zh-CN" w:bidi="ar"/>
              </w:rPr>
              <w:t>完成</w:t>
            </w:r>
            <w:r>
              <w:rPr>
                <w:rStyle w:val="15"/>
                <w:rFonts w:hint="eastAsia" w:ascii="宋体" w:hAnsi="宋体" w:eastAsia="宋体" w:cs="宋体"/>
                <w:color w:val="auto"/>
                <w:sz w:val="20"/>
                <w:szCs w:val="20"/>
                <w:lang w:val="en-US" w:eastAsia="zh-CN" w:bidi="ar"/>
              </w:rPr>
              <w:t>农村</w:t>
            </w:r>
            <w:r>
              <w:rPr>
                <w:rStyle w:val="16"/>
                <w:rFonts w:hint="eastAsia" w:ascii="宋体" w:hAnsi="宋体" w:eastAsia="宋体" w:cs="宋体"/>
                <w:color w:val="auto"/>
                <w:sz w:val="20"/>
                <w:szCs w:val="20"/>
                <w:lang w:val="en-US" w:eastAsia="zh-CN" w:bidi="ar"/>
              </w:rPr>
              <w:t>78套污</w:t>
            </w:r>
            <w:r>
              <w:rPr>
                <w:rStyle w:val="15"/>
                <w:rFonts w:hint="eastAsia" w:ascii="宋体" w:hAnsi="宋体" w:eastAsia="宋体" w:cs="宋体"/>
                <w:color w:val="auto"/>
                <w:sz w:val="20"/>
                <w:szCs w:val="20"/>
                <w:lang w:val="en-US" w:eastAsia="zh-CN" w:bidi="ar"/>
              </w:rPr>
              <w:t>水处理</w:t>
            </w:r>
            <w:r>
              <w:rPr>
                <w:rStyle w:val="15"/>
                <w:rFonts w:hint="eastAsia" w:ascii="宋体" w:hAnsi="宋体" w:eastAsia="宋体" w:cs="宋体"/>
                <w:sz w:val="20"/>
                <w:szCs w:val="20"/>
                <w:lang w:val="en-US" w:eastAsia="zh-CN" w:bidi="ar"/>
              </w:rPr>
              <w:t>设施运行维护，污水处理排放达标率100%。保障贵安新区农村生活污水处理设施设备及配套管网的正常运行。污水进行处理并达到规定标准。</w:t>
            </w:r>
          </w:p>
        </w:tc>
      </w:tr>
      <w:tr w14:paraId="6D07A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jc w:val="center"/>
        </w:trPr>
        <w:tc>
          <w:tcPr>
            <w:tcW w:w="155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84F91F">
            <w:pPr>
              <w:jc w:val="center"/>
              <w:rPr>
                <w:rFonts w:hint="eastAsia" w:ascii="宋体" w:hAnsi="宋体" w:eastAsia="宋体" w:cs="宋体"/>
                <w:b/>
                <w:bCs/>
                <w:i w:val="0"/>
                <w:iCs w:val="0"/>
                <w:color w:val="000000"/>
                <w:sz w:val="20"/>
                <w:szCs w:val="20"/>
                <w:u w:val="none"/>
              </w:rPr>
            </w:pPr>
          </w:p>
        </w:tc>
        <w:tc>
          <w:tcPr>
            <w:tcW w:w="13464" w:type="dxa"/>
            <w:gridSpan w:val="8"/>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8E655BC">
            <w:pPr>
              <w:jc w:val="center"/>
              <w:rPr>
                <w:rFonts w:hint="eastAsia" w:ascii="宋体" w:hAnsi="宋体" w:eastAsia="宋体" w:cs="宋体"/>
                <w:i w:val="0"/>
                <w:iCs w:val="0"/>
                <w:color w:val="000000"/>
                <w:sz w:val="20"/>
                <w:szCs w:val="20"/>
                <w:u w:val="none"/>
              </w:rPr>
            </w:pPr>
          </w:p>
        </w:tc>
      </w:tr>
      <w:tr w14:paraId="039F6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155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86697F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一级指标</w:t>
            </w:r>
          </w:p>
        </w:tc>
        <w:tc>
          <w:tcPr>
            <w:tcW w:w="149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15F973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二级指标</w:t>
            </w:r>
          </w:p>
        </w:tc>
        <w:tc>
          <w:tcPr>
            <w:tcW w:w="252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34B33C6">
            <w:pPr>
              <w:keepNext w:val="0"/>
              <w:keepLines w:val="0"/>
              <w:widowControl/>
              <w:suppressLineNumbers w:val="0"/>
              <w:jc w:val="center"/>
              <w:textAlignment w:val="center"/>
              <w:rPr>
                <w:rFonts w:hint="eastAsia" w:ascii="宋体" w:hAnsi="宋体" w:eastAsia="宋体" w:cs="宋体"/>
                <w:b/>
                <w:bCs/>
                <w:i w:val="0"/>
                <w:iCs w:val="0"/>
                <w:color w:val="FF0000"/>
                <w:sz w:val="20"/>
                <w:szCs w:val="20"/>
                <w:u w:val="none"/>
              </w:rPr>
            </w:pPr>
            <w:r>
              <w:rPr>
                <w:rFonts w:hint="eastAsia" w:ascii="宋体" w:hAnsi="宋体" w:eastAsia="宋体" w:cs="宋体"/>
                <w:b/>
                <w:bCs/>
                <w:i w:val="0"/>
                <w:iCs w:val="0"/>
                <w:color w:val="000000"/>
                <w:kern w:val="0"/>
                <w:sz w:val="20"/>
                <w:szCs w:val="20"/>
                <w:u w:val="none"/>
                <w:lang w:val="en-US" w:eastAsia="zh-CN" w:bidi="ar"/>
              </w:rPr>
              <w:t>三级指标</w:t>
            </w:r>
          </w:p>
        </w:tc>
        <w:tc>
          <w:tcPr>
            <w:tcW w:w="377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1F6A153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指标值</w:t>
            </w:r>
          </w:p>
        </w:tc>
        <w:tc>
          <w:tcPr>
            <w:tcW w:w="25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B7D3E5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备注（指标解释等）</w:t>
            </w:r>
          </w:p>
        </w:tc>
        <w:tc>
          <w:tcPr>
            <w:tcW w:w="30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8AF553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指标值说明（评分标准等）</w:t>
            </w:r>
          </w:p>
        </w:tc>
      </w:tr>
      <w:tr w14:paraId="5B5DE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155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129E4EB">
            <w:pPr>
              <w:jc w:val="center"/>
              <w:rPr>
                <w:rFonts w:hint="eastAsia" w:ascii="宋体" w:hAnsi="宋体" w:eastAsia="宋体" w:cs="宋体"/>
                <w:b/>
                <w:bCs/>
                <w:i w:val="0"/>
                <w:iCs w:val="0"/>
                <w:color w:val="000000"/>
                <w:sz w:val="20"/>
                <w:szCs w:val="20"/>
                <w:u w:val="none"/>
              </w:rPr>
            </w:pPr>
          </w:p>
        </w:tc>
        <w:tc>
          <w:tcPr>
            <w:tcW w:w="149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1CDC8D6">
            <w:pPr>
              <w:jc w:val="center"/>
              <w:rPr>
                <w:rFonts w:hint="eastAsia" w:ascii="宋体" w:hAnsi="宋体" w:eastAsia="宋体" w:cs="宋体"/>
                <w:b/>
                <w:bCs/>
                <w:i w:val="0"/>
                <w:iCs w:val="0"/>
                <w:color w:val="000000"/>
                <w:sz w:val="20"/>
                <w:szCs w:val="20"/>
                <w:u w:val="none"/>
              </w:rPr>
            </w:pPr>
          </w:p>
        </w:tc>
        <w:tc>
          <w:tcPr>
            <w:tcW w:w="25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CF2DD0">
            <w:pPr>
              <w:jc w:val="center"/>
              <w:rPr>
                <w:rFonts w:hint="eastAsia" w:ascii="宋体" w:hAnsi="宋体" w:eastAsia="宋体" w:cs="宋体"/>
                <w:b/>
                <w:bCs/>
                <w:i w:val="0"/>
                <w:iCs w:val="0"/>
                <w:color w:val="FF0000"/>
                <w:sz w:val="20"/>
                <w:szCs w:val="20"/>
                <w:u w:val="none"/>
              </w:rPr>
            </w:pPr>
          </w:p>
        </w:tc>
        <w:tc>
          <w:tcPr>
            <w:tcW w:w="1298" w:type="dxa"/>
            <w:tcBorders>
              <w:top w:val="single" w:color="auto" w:sz="4" w:space="0"/>
              <w:left w:val="single" w:color="auto" w:sz="4" w:space="0"/>
              <w:bottom w:val="single" w:color="auto" w:sz="4" w:space="0"/>
              <w:right w:val="single" w:color="auto" w:sz="4" w:space="0"/>
            </w:tcBorders>
            <w:shd w:val="clear" w:color="auto" w:fill="auto"/>
            <w:vAlign w:val="center"/>
          </w:tcPr>
          <w:p w14:paraId="527F49BF">
            <w:pPr>
              <w:keepNext w:val="0"/>
              <w:keepLines w:val="0"/>
              <w:widowControl/>
              <w:suppressLineNumbers w:val="0"/>
              <w:jc w:val="center"/>
              <w:textAlignment w:val="center"/>
              <w:rPr>
                <w:rFonts w:hint="eastAsia" w:ascii="宋体" w:hAnsi="宋体" w:eastAsia="宋体" w:cs="宋体"/>
                <w:b/>
                <w:bCs/>
                <w:i w:val="0"/>
                <w:iCs w:val="0"/>
                <w:color w:val="FF0000"/>
                <w:sz w:val="20"/>
                <w:szCs w:val="20"/>
                <w:u w:val="none"/>
              </w:rPr>
            </w:pPr>
            <w:r>
              <w:rPr>
                <w:rFonts w:hint="eastAsia" w:ascii="宋体" w:hAnsi="宋体" w:eastAsia="宋体" w:cs="宋体"/>
                <w:b/>
                <w:bCs/>
                <w:i w:val="0"/>
                <w:iCs w:val="0"/>
                <w:color w:val="000000"/>
                <w:kern w:val="0"/>
                <w:sz w:val="20"/>
                <w:szCs w:val="20"/>
                <w:u w:val="none"/>
                <w:lang w:val="en-US" w:eastAsia="zh-CN" w:bidi="ar"/>
              </w:rPr>
              <w:t>符号</w:t>
            </w:r>
          </w:p>
        </w:tc>
        <w:tc>
          <w:tcPr>
            <w:tcW w:w="1298" w:type="dxa"/>
            <w:tcBorders>
              <w:top w:val="single" w:color="auto" w:sz="4" w:space="0"/>
              <w:left w:val="single" w:color="auto" w:sz="4" w:space="0"/>
              <w:bottom w:val="single" w:color="auto" w:sz="4" w:space="0"/>
              <w:right w:val="single" w:color="auto" w:sz="4" w:space="0"/>
            </w:tcBorders>
            <w:shd w:val="clear" w:color="auto" w:fill="auto"/>
            <w:vAlign w:val="center"/>
          </w:tcPr>
          <w:p w14:paraId="4C22086F">
            <w:pPr>
              <w:keepNext w:val="0"/>
              <w:keepLines w:val="0"/>
              <w:widowControl/>
              <w:suppressLineNumbers w:val="0"/>
              <w:jc w:val="center"/>
              <w:textAlignment w:val="center"/>
              <w:rPr>
                <w:rFonts w:hint="eastAsia" w:ascii="宋体" w:hAnsi="宋体" w:eastAsia="宋体" w:cs="宋体"/>
                <w:b/>
                <w:bCs/>
                <w:i w:val="0"/>
                <w:iCs w:val="0"/>
                <w:color w:val="FF0000"/>
                <w:sz w:val="20"/>
                <w:szCs w:val="20"/>
                <w:u w:val="none"/>
              </w:rPr>
            </w:pPr>
            <w:r>
              <w:rPr>
                <w:rFonts w:hint="eastAsia" w:ascii="宋体" w:hAnsi="宋体" w:eastAsia="宋体" w:cs="宋体"/>
                <w:b/>
                <w:bCs/>
                <w:i w:val="0"/>
                <w:iCs w:val="0"/>
                <w:color w:val="000000"/>
                <w:kern w:val="0"/>
                <w:sz w:val="20"/>
                <w:szCs w:val="20"/>
                <w:u w:val="none"/>
                <w:lang w:val="en-US" w:eastAsia="zh-CN" w:bidi="ar"/>
              </w:rPr>
              <w:t>值</w:t>
            </w:r>
          </w:p>
        </w:tc>
        <w:tc>
          <w:tcPr>
            <w:tcW w:w="11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E14B42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计量单位</w:t>
            </w:r>
          </w:p>
        </w:tc>
        <w:tc>
          <w:tcPr>
            <w:tcW w:w="258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67802F">
            <w:pPr>
              <w:jc w:val="center"/>
              <w:rPr>
                <w:rFonts w:hint="eastAsia" w:ascii="宋体" w:hAnsi="宋体" w:eastAsia="宋体" w:cs="宋体"/>
                <w:b/>
                <w:bCs/>
                <w:i w:val="0"/>
                <w:iCs w:val="0"/>
                <w:color w:val="000000"/>
                <w:sz w:val="20"/>
                <w:szCs w:val="20"/>
                <w:u w:val="none"/>
              </w:rPr>
            </w:pPr>
          </w:p>
        </w:tc>
        <w:tc>
          <w:tcPr>
            <w:tcW w:w="30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AD4D39">
            <w:pPr>
              <w:jc w:val="center"/>
              <w:rPr>
                <w:rFonts w:hint="eastAsia" w:ascii="宋体" w:hAnsi="宋体" w:eastAsia="宋体" w:cs="宋体"/>
                <w:b/>
                <w:bCs/>
                <w:i w:val="0"/>
                <w:iCs w:val="0"/>
                <w:color w:val="000000"/>
                <w:sz w:val="20"/>
                <w:szCs w:val="20"/>
                <w:u w:val="none"/>
              </w:rPr>
            </w:pPr>
          </w:p>
        </w:tc>
      </w:tr>
      <w:tr w14:paraId="026AB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6" w:hRule="atLeast"/>
          <w:jc w:val="center"/>
        </w:trPr>
        <w:tc>
          <w:tcPr>
            <w:tcW w:w="1552" w:type="dxa"/>
            <w:vMerge w:val="restart"/>
            <w:tcBorders>
              <w:top w:val="single" w:color="auto" w:sz="4" w:space="0"/>
              <w:left w:val="single" w:color="auto" w:sz="4" w:space="0"/>
              <w:right w:val="single" w:color="auto" w:sz="4" w:space="0"/>
            </w:tcBorders>
            <w:shd w:val="clear" w:color="auto" w:fill="auto"/>
            <w:vAlign w:val="center"/>
          </w:tcPr>
          <w:p w14:paraId="37945D2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产出指标</w:t>
            </w:r>
          </w:p>
        </w:tc>
        <w:tc>
          <w:tcPr>
            <w:tcW w:w="1494" w:type="dxa"/>
            <w:vMerge w:val="restart"/>
            <w:tcBorders>
              <w:top w:val="single" w:color="auto" w:sz="4" w:space="0"/>
              <w:left w:val="single" w:color="auto" w:sz="4" w:space="0"/>
              <w:right w:val="single" w:color="auto" w:sz="4" w:space="0"/>
            </w:tcBorders>
            <w:shd w:val="clear" w:color="auto" w:fill="auto"/>
            <w:vAlign w:val="center"/>
          </w:tcPr>
          <w:p w14:paraId="5AC200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highlight w:val="none"/>
                <w:u w:val="none"/>
                <w:lang w:val="en-US" w:eastAsia="zh-CN"/>
              </w:rPr>
              <w:t>数量指标</w:t>
            </w:r>
          </w:p>
        </w:tc>
        <w:tc>
          <w:tcPr>
            <w:tcW w:w="2527" w:type="dxa"/>
            <w:tcBorders>
              <w:top w:val="single" w:color="auto" w:sz="4" w:space="0"/>
              <w:left w:val="single" w:color="auto" w:sz="4" w:space="0"/>
              <w:bottom w:val="single" w:color="auto" w:sz="4" w:space="0"/>
              <w:right w:val="single" w:color="auto" w:sz="4" w:space="0"/>
            </w:tcBorders>
            <w:shd w:val="clear" w:color="auto" w:fill="auto"/>
            <w:vAlign w:val="center"/>
          </w:tcPr>
          <w:p w14:paraId="37129FF0">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rPr>
              <w:t>维护农村生活污水集中式处理设施套数（处理能力≥5</w:t>
            </w:r>
            <w:r>
              <w:rPr>
                <w:rFonts w:hint="eastAsia" w:ascii="宋体" w:hAnsi="宋体" w:eastAsia="宋体" w:cs="宋体"/>
                <w:bCs/>
                <w:color w:val="000000"/>
                <w:sz w:val="20"/>
                <w:szCs w:val="20"/>
                <w:highlight w:val="none"/>
                <w:lang w:val="en-US" w:eastAsia="zh-CN" w:bidi="ar-SA"/>
              </w:rPr>
              <w:t>m³/d</w:t>
            </w:r>
            <w:r>
              <w:rPr>
                <w:rFonts w:hint="eastAsia" w:ascii="宋体" w:hAnsi="宋体" w:eastAsia="宋体" w:cs="宋体"/>
                <w:i w:val="0"/>
                <w:iCs w:val="0"/>
                <w:color w:val="000000"/>
                <w:kern w:val="0"/>
                <w:sz w:val="20"/>
                <w:szCs w:val="20"/>
                <w:highlight w:val="none"/>
                <w:u w:val="none"/>
                <w:lang w:val="en-US" w:eastAsia="zh-CN"/>
              </w:rPr>
              <w:t>）</w:t>
            </w:r>
          </w:p>
        </w:tc>
        <w:tc>
          <w:tcPr>
            <w:tcW w:w="1298" w:type="dxa"/>
            <w:tcBorders>
              <w:top w:val="single" w:color="auto" w:sz="4" w:space="0"/>
              <w:left w:val="single" w:color="auto" w:sz="4" w:space="0"/>
              <w:bottom w:val="single" w:color="auto" w:sz="4" w:space="0"/>
              <w:right w:val="single" w:color="auto" w:sz="4" w:space="0"/>
            </w:tcBorders>
            <w:shd w:val="clear" w:color="auto" w:fill="auto"/>
            <w:vAlign w:val="center"/>
          </w:tcPr>
          <w:p w14:paraId="483BF15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rPr>
              <w:t>≥</w:t>
            </w:r>
          </w:p>
        </w:tc>
        <w:tc>
          <w:tcPr>
            <w:tcW w:w="1298" w:type="dxa"/>
            <w:tcBorders>
              <w:top w:val="single" w:color="auto" w:sz="4" w:space="0"/>
              <w:left w:val="single" w:color="auto" w:sz="4" w:space="0"/>
              <w:bottom w:val="single" w:color="auto" w:sz="4" w:space="0"/>
              <w:right w:val="single" w:color="auto" w:sz="4" w:space="0"/>
            </w:tcBorders>
            <w:shd w:val="clear" w:color="auto" w:fill="auto"/>
            <w:vAlign w:val="center"/>
          </w:tcPr>
          <w:p w14:paraId="01D1D1F6">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rPr>
              <w:t>45</w:t>
            </w:r>
          </w:p>
        </w:tc>
        <w:tc>
          <w:tcPr>
            <w:tcW w:w="11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A8C8721">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rPr>
              <w:t>套</w:t>
            </w:r>
          </w:p>
        </w:tc>
        <w:tc>
          <w:tcPr>
            <w:tcW w:w="2583" w:type="dxa"/>
            <w:tcBorders>
              <w:top w:val="single" w:color="auto" w:sz="4" w:space="0"/>
              <w:left w:val="single" w:color="auto" w:sz="4" w:space="0"/>
              <w:bottom w:val="single" w:color="auto" w:sz="4" w:space="0"/>
              <w:right w:val="single" w:color="auto" w:sz="4" w:space="0"/>
            </w:tcBorders>
            <w:shd w:val="clear" w:color="auto" w:fill="auto"/>
            <w:vAlign w:val="center"/>
          </w:tcPr>
          <w:p w14:paraId="63F57631">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rPr>
              <w:t>反映本项目实施后，维护农村生活污水处理设施情况</w:t>
            </w:r>
          </w:p>
        </w:tc>
        <w:tc>
          <w:tcPr>
            <w:tcW w:w="3087" w:type="dxa"/>
            <w:tcBorders>
              <w:top w:val="single" w:color="auto" w:sz="4" w:space="0"/>
              <w:left w:val="single" w:color="auto" w:sz="4" w:space="0"/>
              <w:bottom w:val="single" w:color="auto" w:sz="4" w:space="0"/>
              <w:right w:val="single" w:color="auto" w:sz="4" w:space="0"/>
            </w:tcBorders>
            <w:shd w:val="clear" w:color="auto" w:fill="auto"/>
            <w:vAlign w:val="center"/>
          </w:tcPr>
          <w:p w14:paraId="3E81E1E8">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rPr>
              <w:t>评分标准：维护农村生活污水集中式处理设施套数≥45套，得满分，每少1套，扣1分，扣完为止。</w:t>
            </w:r>
          </w:p>
        </w:tc>
      </w:tr>
      <w:tr w14:paraId="6AB2F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7" w:hRule="atLeast"/>
          <w:jc w:val="center"/>
        </w:trPr>
        <w:tc>
          <w:tcPr>
            <w:tcW w:w="1552" w:type="dxa"/>
            <w:vMerge w:val="continue"/>
            <w:tcBorders>
              <w:left w:val="single" w:color="auto" w:sz="4" w:space="0"/>
              <w:bottom w:val="single" w:color="auto" w:sz="4" w:space="0"/>
              <w:right w:val="single" w:color="auto" w:sz="4" w:space="0"/>
            </w:tcBorders>
            <w:shd w:val="clear" w:color="auto" w:fill="auto"/>
            <w:vAlign w:val="center"/>
          </w:tcPr>
          <w:p w14:paraId="3EC70929">
            <w:pPr>
              <w:jc w:val="center"/>
              <w:rPr>
                <w:rFonts w:hint="eastAsia" w:ascii="宋体" w:hAnsi="宋体" w:eastAsia="宋体" w:cs="宋体"/>
                <w:b/>
                <w:bCs/>
                <w:i w:val="0"/>
                <w:iCs w:val="0"/>
                <w:color w:val="000000"/>
                <w:sz w:val="20"/>
                <w:szCs w:val="20"/>
                <w:u w:val="none"/>
              </w:rPr>
            </w:pPr>
          </w:p>
        </w:tc>
        <w:tc>
          <w:tcPr>
            <w:tcW w:w="1494" w:type="dxa"/>
            <w:vMerge w:val="continue"/>
            <w:tcBorders>
              <w:left w:val="single" w:color="auto" w:sz="4" w:space="0"/>
              <w:bottom w:val="single" w:color="auto" w:sz="4" w:space="0"/>
              <w:right w:val="single" w:color="auto" w:sz="4" w:space="0"/>
            </w:tcBorders>
            <w:shd w:val="clear" w:color="auto" w:fill="auto"/>
            <w:vAlign w:val="center"/>
          </w:tcPr>
          <w:p w14:paraId="4FCA6BA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527" w:type="dxa"/>
            <w:tcBorders>
              <w:top w:val="single" w:color="auto" w:sz="4" w:space="0"/>
              <w:left w:val="single" w:color="auto" w:sz="4" w:space="0"/>
              <w:bottom w:val="single" w:color="auto" w:sz="4" w:space="0"/>
              <w:right w:val="single" w:color="auto" w:sz="4" w:space="0"/>
            </w:tcBorders>
            <w:shd w:val="clear" w:color="auto" w:fill="auto"/>
            <w:vAlign w:val="center"/>
          </w:tcPr>
          <w:p w14:paraId="64823EE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highlight w:val="none"/>
                <w:u w:val="none"/>
                <w:lang w:val="en-US" w:eastAsia="zh-CN"/>
              </w:rPr>
              <w:t>维护农村生活污水分散式处理设施套数（处理能力〈5</w:t>
            </w:r>
            <w:r>
              <w:rPr>
                <w:rFonts w:hint="eastAsia" w:ascii="宋体" w:hAnsi="宋体" w:eastAsia="宋体" w:cs="宋体"/>
                <w:bCs/>
                <w:color w:val="000000"/>
                <w:sz w:val="20"/>
                <w:szCs w:val="20"/>
                <w:highlight w:val="none"/>
                <w:lang w:val="en-US" w:eastAsia="zh-CN" w:bidi="ar-SA"/>
              </w:rPr>
              <w:t>m³/d</w:t>
            </w:r>
            <w:r>
              <w:rPr>
                <w:rFonts w:hint="eastAsia" w:ascii="宋体" w:hAnsi="宋体" w:eastAsia="宋体" w:cs="宋体"/>
                <w:i w:val="0"/>
                <w:iCs w:val="0"/>
                <w:color w:val="000000"/>
                <w:kern w:val="0"/>
                <w:sz w:val="20"/>
                <w:szCs w:val="20"/>
                <w:highlight w:val="none"/>
                <w:u w:val="none"/>
                <w:lang w:val="en-US" w:eastAsia="zh-CN"/>
              </w:rPr>
              <w:t>）</w:t>
            </w:r>
          </w:p>
        </w:tc>
        <w:tc>
          <w:tcPr>
            <w:tcW w:w="1298" w:type="dxa"/>
            <w:tcBorders>
              <w:top w:val="single" w:color="auto" w:sz="4" w:space="0"/>
              <w:left w:val="single" w:color="auto" w:sz="4" w:space="0"/>
              <w:bottom w:val="single" w:color="auto" w:sz="4" w:space="0"/>
              <w:right w:val="single" w:color="auto" w:sz="4" w:space="0"/>
            </w:tcBorders>
            <w:shd w:val="clear" w:color="auto" w:fill="auto"/>
            <w:vAlign w:val="center"/>
          </w:tcPr>
          <w:p w14:paraId="3E8A1CE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highlight w:val="none"/>
                <w:u w:val="none"/>
                <w:lang w:val="en-US" w:eastAsia="zh-CN"/>
              </w:rPr>
              <w:t>≥</w:t>
            </w:r>
          </w:p>
        </w:tc>
        <w:tc>
          <w:tcPr>
            <w:tcW w:w="1298" w:type="dxa"/>
            <w:tcBorders>
              <w:top w:val="single" w:color="auto" w:sz="4" w:space="0"/>
              <w:left w:val="single" w:color="auto" w:sz="4" w:space="0"/>
              <w:bottom w:val="single" w:color="auto" w:sz="4" w:space="0"/>
              <w:right w:val="single" w:color="auto" w:sz="4" w:space="0"/>
            </w:tcBorders>
            <w:shd w:val="clear" w:color="auto" w:fill="auto"/>
            <w:vAlign w:val="center"/>
          </w:tcPr>
          <w:p w14:paraId="66BE135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highlight w:val="none"/>
                <w:u w:val="none"/>
                <w:lang w:val="en-US" w:eastAsia="zh-CN"/>
              </w:rPr>
              <w:t>33</w:t>
            </w:r>
          </w:p>
        </w:tc>
        <w:tc>
          <w:tcPr>
            <w:tcW w:w="11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1D7C3E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highlight w:val="none"/>
                <w:u w:val="none"/>
                <w:lang w:val="en-US" w:eastAsia="zh-CN"/>
              </w:rPr>
              <w:t>套</w:t>
            </w:r>
          </w:p>
        </w:tc>
        <w:tc>
          <w:tcPr>
            <w:tcW w:w="2583" w:type="dxa"/>
            <w:tcBorders>
              <w:top w:val="single" w:color="auto" w:sz="4" w:space="0"/>
              <w:left w:val="single" w:color="auto" w:sz="4" w:space="0"/>
              <w:bottom w:val="single" w:color="auto" w:sz="4" w:space="0"/>
              <w:right w:val="single" w:color="auto" w:sz="4" w:space="0"/>
            </w:tcBorders>
            <w:shd w:val="clear" w:color="auto" w:fill="auto"/>
            <w:vAlign w:val="center"/>
          </w:tcPr>
          <w:p w14:paraId="150B2A9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highlight w:val="none"/>
                <w:u w:val="none"/>
                <w:lang w:val="en-US" w:eastAsia="zh-CN"/>
              </w:rPr>
              <w:t>反映本项目实施后，维护农村生活污水处理设施情况</w:t>
            </w:r>
          </w:p>
        </w:tc>
        <w:tc>
          <w:tcPr>
            <w:tcW w:w="3087" w:type="dxa"/>
            <w:tcBorders>
              <w:top w:val="single" w:color="auto" w:sz="4" w:space="0"/>
              <w:left w:val="single" w:color="auto" w:sz="4" w:space="0"/>
              <w:bottom w:val="single" w:color="auto" w:sz="4" w:space="0"/>
              <w:right w:val="single" w:color="auto" w:sz="4" w:space="0"/>
            </w:tcBorders>
            <w:shd w:val="clear" w:color="auto" w:fill="auto"/>
            <w:vAlign w:val="center"/>
          </w:tcPr>
          <w:p w14:paraId="28A0922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highlight w:val="none"/>
                <w:u w:val="none"/>
                <w:lang w:val="en-US" w:eastAsia="zh-CN"/>
              </w:rPr>
              <w:t>评分标准：维护农村生活污水分散式处理设施套数≥33套，得满分，每少1套，扣1分，扣完为止。</w:t>
            </w:r>
          </w:p>
        </w:tc>
      </w:tr>
      <w:tr w14:paraId="23492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7" w:hRule="atLeast"/>
          <w:jc w:val="center"/>
        </w:trPr>
        <w:tc>
          <w:tcPr>
            <w:tcW w:w="1552" w:type="dxa"/>
            <w:vMerge w:val="restart"/>
            <w:tcBorders>
              <w:top w:val="single" w:color="auto" w:sz="4" w:space="0"/>
              <w:left w:val="single" w:color="auto" w:sz="4" w:space="0"/>
              <w:right w:val="single" w:color="auto" w:sz="4" w:space="0"/>
            </w:tcBorders>
            <w:shd w:val="clear" w:color="auto" w:fill="auto"/>
            <w:vAlign w:val="center"/>
          </w:tcPr>
          <w:p w14:paraId="1CA51BE8">
            <w:pPr>
              <w:jc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产出指标</w:t>
            </w:r>
          </w:p>
        </w:tc>
        <w:tc>
          <w:tcPr>
            <w:tcW w:w="1494" w:type="dxa"/>
            <w:tcBorders>
              <w:top w:val="single" w:color="auto" w:sz="4" w:space="0"/>
              <w:left w:val="single" w:color="auto" w:sz="4" w:space="0"/>
              <w:bottom w:val="single" w:color="auto" w:sz="4" w:space="0"/>
              <w:right w:val="single" w:color="auto" w:sz="4" w:space="0"/>
            </w:tcBorders>
            <w:shd w:val="clear" w:color="auto" w:fill="auto"/>
            <w:vAlign w:val="center"/>
          </w:tcPr>
          <w:p w14:paraId="76ECA5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2527" w:type="dxa"/>
            <w:tcBorders>
              <w:top w:val="single" w:color="auto" w:sz="4" w:space="0"/>
              <w:left w:val="single" w:color="auto" w:sz="4" w:space="0"/>
              <w:bottom w:val="single" w:color="auto" w:sz="4" w:space="0"/>
              <w:right w:val="single" w:color="auto" w:sz="4" w:space="0"/>
            </w:tcBorders>
            <w:shd w:val="clear" w:color="auto" w:fill="auto"/>
            <w:vAlign w:val="center"/>
          </w:tcPr>
          <w:p w14:paraId="11DCDF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农村生活污水处理设施正常运行率</w:t>
            </w:r>
          </w:p>
        </w:tc>
        <w:tc>
          <w:tcPr>
            <w:tcW w:w="1298" w:type="dxa"/>
            <w:tcBorders>
              <w:top w:val="single" w:color="auto" w:sz="4" w:space="0"/>
              <w:left w:val="single" w:color="auto" w:sz="4" w:space="0"/>
              <w:bottom w:val="single" w:color="auto" w:sz="4" w:space="0"/>
              <w:right w:val="single" w:color="auto" w:sz="4" w:space="0"/>
            </w:tcBorders>
            <w:shd w:val="clear" w:color="auto" w:fill="auto"/>
            <w:vAlign w:val="center"/>
          </w:tcPr>
          <w:p w14:paraId="097243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298" w:type="dxa"/>
            <w:tcBorders>
              <w:top w:val="single" w:color="auto" w:sz="4" w:space="0"/>
              <w:left w:val="single" w:color="auto" w:sz="4" w:space="0"/>
              <w:bottom w:val="single" w:color="auto" w:sz="4" w:space="0"/>
              <w:right w:val="single" w:color="auto" w:sz="4" w:space="0"/>
            </w:tcBorders>
            <w:shd w:val="clear" w:color="auto" w:fill="auto"/>
            <w:vAlign w:val="center"/>
          </w:tcPr>
          <w:p w14:paraId="1CD8D4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1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27D2F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583" w:type="dxa"/>
            <w:tcBorders>
              <w:top w:val="single" w:color="auto" w:sz="4" w:space="0"/>
              <w:left w:val="single" w:color="auto" w:sz="4" w:space="0"/>
              <w:bottom w:val="single" w:color="auto" w:sz="4" w:space="0"/>
              <w:right w:val="single" w:color="auto" w:sz="4" w:space="0"/>
            </w:tcBorders>
            <w:shd w:val="clear" w:color="auto" w:fill="auto"/>
            <w:vAlign w:val="center"/>
          </w:tcPr>
          <w:p w14:paraId="430AD4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反映农村生活污水处理设施正常运行情况</w:t>
            </w:r>
          </w:p>
        </w:tc>
        <w:tc>
          <w:tcPr>
            <w:tcW w:w="3087" w:type="dxa"/>
            <w:tcBorders>
              <w:top w:val="single" w:color="auto" w:sz="4" w:space="0"/>
              <w:left w:val="single" w:color="auto" w:sz="4" w:space="0"/>
              <w:bottom w:val="single" w:color="auto" w:sz="4" w:space="0"/>
              <w:right w:val="single" w:color="auto" w:sz="4" w:space="0"/>
            </w:tcBorders>
            <w:shd w:val="clear" w:color="auto" w:fill="auto"/>
            <w:vAlign w:val="center"/>
          </w:tcPr>
          <w:p w14:paraId="435C34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评分标准：农村生活污水处理设施正常运行率≥100%，得满分，否则不得分。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农村生活污水处理设施正常运行率=不正常运行设施数/78</w:t>
            </w:r>
          </w:p>
        </w:tc>
      </w:tr>
      <w:tr w14:paraId="05809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9" w:hRule="atLeast"/>
          <w:jc w:val="center"/>
        </w:trPr>
        <w:tc>
          <w:tcPr>
            <w:tcW w:w="1552" w:type="dxa"/>
            <w:vMerge w:val="continue"/>
            <w:tcBorders>
              <w:left w:val="single" w:color="auto" w:sz="4" w:space="0"/>
              <w:right w:val="single" w:color="auto" w:sz="4" w:space="0"/>
            </w:tcBorders>
            <w:shd w:val="clear" w:color="auto" w:fill="auto"/>
            <w:vAlign w:val="center"/>
          </w:tcPr>
          <w:p w14:paraId="71B5DF73">
            <w:pPr>
              <w:jc w:val="center"/>
              <w:rPr>
                <w:rFonts w:hint="eastAsia" w:ascii="宋体" w:hAnsi="宋体" w:eastAsia="宋体" w:cs="宋体"/>
                <w:b/>
                <w:bCs/>
                <w:i w:val="0"/>
                <w:iCs w:val="0"/>
                <w:color w:val="000000"/>
                <w:sz w:val="20"/>
                <w:szCs w:val="20"/>
                <w:u w:val="none"/>
              </w:rPr>
            </w:pPr>
          </w:p>
        </w:tc>
        <w:tc>
          <w:tcPr>
            <w:tcW w:w="1494" w:type="dxa"/>
            <w:tcBorders>
              <w:top w:val="single" w:color="auto" w:sz="4" w:space="0"/>
              <w:left w:val="single" w:color="auto" w:sz="4" w:space="0"/>
              <w:bottom w:val="single" w:color="auto" w:sz="4" w:space="0"/>
              <w:right w:val="single" w:color="auto" w:sz="4" w:space="0"/>
            </w:tcBorders>
            <w:shd w:val="clear" w:color="auto" w:fill="auto"/>
            <w:vAlign w:val="center"/>
          </w:tcPr>
          <w:p w14:paraId="76B1DB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2527" w:type="dxa"/>
            <w:tcBorders>
              <w:top w:val="single" w:color="auto" w:sz="4" w:space="0"/>
              <w:left w:val="single" w:color="auto" w:sz="4" w:space="0"/>
              <w:bottom w:val="single" w:color="auto" w:sz="4" w:space="0"/>
              <w:right w:val="single" w:color="auto" w:sz="4" w:space="0"/>
            </w:tcBorders>
            <w:shd w:val="clear" w:color="auto" w:fill="auto"/>
            <w:vAlign w:val="center"/>
          </w:tcPr>
          <w:p w14:paraId="159C4C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设施运行维护及时性</w:t>
            </w:r>
          </w:p>
        </w:tc>
        <w:tc>
          <w:tcPr>
            <w:tcW w:w="1298" w:type="dxa"/>
            <w:tcBorders>
              <w:top w:val="single" w:color="auto" w:sz="4" w:space="0"/>
              <w:left w:val="single" w:color="auto" w:sz="4" w:space="0"/>
              <w:bottom w:val="single" w:color="auto" w:sz="4" w:space="0"/>
              <w:right w:val="single" w:color="auto" w:sz="4" w:space="0"/>
            </w:tcBorders>
            <w:shd w:val="clear" w:color="auto" w:fill="auto"/>
            <w:vAlign w:val="center"/>
          </w:tcPr>
          <w:p w14:paraId="7DB18F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定性</w:t>
            </w:r>
          </w:p>
        </w:tc>
        <w:tc>
          <w:tcPr>
            <w:tcW w:w="1298" w:type="dxa"/>
            <w:tcBorders>
              <w:top w:val="single" w:color="auto" w:sz="4" w:space="0"/>
              <w:left w:val="single" w:color="auto" w:sz="4" w:space="0"/>
              <w:bottom w:val="single" w:color="auto" w:sz="4" w:space="0"/>
              <w:right w:val="single" w:color="auto" w:sz="4" w:space="0"/>
            </w:tcBorders>
            <w:shd w:val="clear" w:color="auto" w:fill="auto"/>
            <w:vAlign w:val="center"/>
          </w:tcPr>
          <w:p w14:paraId="2D2A5A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及时</w:t>
            </w:r>
          </w:p>
        </w:tc>
        <w:tc>
          <w:tcPr>
            <w:tcW w:w="11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B7B9235">
            <w:pPr>
              <w:jc w:val="center"/>
              <w:rPr>
                <w:rFonts w:hint="eastAsia" w:ascii="宋体" w:hAnsi="宋体" w:eastAsia="宋体" w:cs="宋体"/>
                <w:i w:val="0"/>
                <w:iCs w:val="0"/>
                <w:color w:val="000000"/>
                <w:sz w:val="20"/>
                <w:szCs w:val="20"/>
                <w:u w:val="none"/>
              </w:rPr>
            </w:pPr>
          </w:p>
        </w:tc>
        <w:tc>
          <w:tcPr>
            <w:tcW w:w="2583" w:type="dxa"/>
            <w:tcBorders>
              <w:top w:val="single" w:color="auto" w:sz="4" w:space="0"/>
              <w:left w:val="single" w:color="auto" w:sz="4" w:space="0"/>
              <w:bottom w:val="single" w:color="auto" w:sz="4" w:space="0"/>
              <w:right w:val="single" w:color="auto" w:sz="4" w:space="0"/>
            </w:tcBorders>
            <w:shd w:val="clear" w:color="auto" w:fill="auto"/>
            <w:vAlign w:val="center"/>
          </w:tcPr>
          <w:p w14:paraId="0FC9BC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反映设施运行维护及时情况</w:t>
            </w:r>
          </w:p>
        </w:tc>
        <w:tc>
          <w:tcPr>
            <w:tcW w:w="3087" w:type="dxa"/>
            <w:tcBorders>
              <w:top w:val="single" w:color="auto" w:sz="4" w:space="0"/>
              <w:left w:val="single" w:color="auto" w:sz="4" w:space="0"/>
              <w:bottom w:val="single" w:color="auto" w:sz="4" w:space="0"/>
              <w:right w:val="single" w:color="auto" w:sz="4" w:space="0"/>
            </w:tcBorders>
            <w:shd w:val="clear" w:color="auto" w:fill="auto"/>
            <w:vAlign w:val="center"/>
          </w:tcPr>
          <w:p w14:paraId="02FC18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评分标准：及时（每月巡检不小于1—2次，24小时内到场维修），得满分，发现一次不及时，扣1分，扣完为止。</w:t>
            </w:r>
          </w:p>
        </w:tc>
      </w:tr>
      <w:tr w14:paraId="61BE7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2" w:hRule="atLeast"/>
          <w:jc w:val="center"/>
        </w:trPr>
        <w:tc>
          <w:tcPr>
            <w:tcW w:w="1552" w:type="dxa"/>
            <w:vMerge w:val="continue"/>
            <w:tcBorders>
              <w:left w:val="single" w:color="auto" w:sz="4" w:space="0"/>
              <w:right w:val="single" w:color="auto" w:sz="4" w:space="0"/>
            </w:tcBorders>
            <w:shd w:val="clear" w:color="auto" w:fill="auto"/>
            <w:vAlign w:val="center"/>
          </w:tcPr>
          <w:p w14:paraId="560E6AD0">
            <w:pPr>
              <w:jc w:val="center"/>
              <w:rPr>
                <w:rFonts w:hint="eastAsia" w:ascii="宋体" w:hAnsi="宋体" w:eastAsia="宋体" w:cs="宋体"/>
                <w:b/>
                <w:bCs/>
                <w:i w:val="0"/>
                <w:iCs w:val="0"/>
                <w:color w:val="000000"/>
                <w:sz w:val="20"/>
                <w:szCs w:val="20"/>
                <w:u w:val="none"/>
              </w:rPr>
            </w:pPr>
          </w:p>
        </w:tc>
        <w:tc>
          <w:tcPr>
            <w:tcW w:w="1494" w:type="dxa"/>
            <w:vMerge w:val="restart"/>
            <w:tcBorders>
              <w:top w:val="single" w:color="auto" w:sz="4" w:space="0"/>
              <w:left w:val="single" w:color="auto" w:sz="4" w:space="0"/>
              <w:right w:val="single" w:color="auto" w:sz="4" w:space="0"/>
            </w:tcBorders>
            <w:shd w:val="clear" w:color="auto" w:fill="auto"/>
            <w:vAlign w:val="center"/>
          </w:tcPr>
          <w:p w14:paraId="3D1C72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2527" w:type="dxa"/>
            <w:tcBorders>
              <w:top w:val="single" w:color="auto" w:sz="4" w:space="0"/>
              <w:left w:val="single" w:color="auto" w:sz="4" w:space="0"/>
              <w:bottom w:val="single" w:color="auto" w:sz="4" w:space="0"/>
              <w:right w:val="single" w:color="auto" w:sz="4" w:space="0"/>
            </w:tcBorders>
            <w:shd w:val="clear" w:color="auto" w:fill="auto"/>
            <w:vAlign w:val="center"/>
          </w:tcPr>
          <w:p w14:paraId="3470E6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highlight w:val="none"/>
                <w:u w:val="none"/>
                <w:lang w:val="en-US" w:eastAsia="zh-CN"/>
              </w:rPr>
              <w:t>运行维护费用</w:t>
            </w:r>
          </w:p>
        </w:tc>
        <w:tc>
          <w:tcPr>
            <w:tcW w:w="1298" w:type="dxa"/>
            <w:tcBorders>
              <w:top w:val="single" w:color="auto" w:sz="4" w:space="0"/>
              <w:left w:val="single" w:color="auto" w:sz="4" w:space="0"/>
              <w:bottom w:val="single" w:color="auto" w:sz="4" w:space="0"/>
              <w:right w:val="single" w:color="auto" w:sz="4" w:space="0"/>
            </w:tcBorders>
            <w:shd w:val="clear" w:color="auto" w:fill="auto"/>
            <w:vAlign w:val="center"/>
          </w:tcPr>
          <w:p w14:paraId="1E7383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highlight w:val="none"/>
                <w:u w:val="none"/>
                <w:lang w:val="en-US" w:eastAsia="zh-CN"/>
              </w:rPr>
              <w:t>≤</w:t>
            </w:r>
          </w:p>
        </w:tc>
        <w:tc>
          <w:tcPr>
            <w:tcW w:w="1298" w:type="dxa"/>
            <w:tcBorders>
              <w:top w:val="single" w:color="auto" w:sz="4" w:space="0"/>
              <w:left w:val="single" w:color="auto" w:sz="4" w:space="0"/>
              <w:bottom w:val="single" w:color="auto" w:sz="4" w:space="0"/>
              <w:right w:val="single" w:color="auto" w:sz="4" w:space="0"/>
            </w:tcBorders>
            <w:shd w:val="clear" w:color="auto" w:fill="auto"/>
            <w:vAlign w:val="center"/>
          </w:tcPr>
          <w:p w14:paraId="3E4C5709">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highlight w:val="none"/>
                <w:u w:val="none"/>
                <w:lang w:val="en-US" w:eastAsia="zh-CN"/>
              </w:rPr>
              <w:t>2310</w:t>
            </w:r>
          </w:p>
        </w:tc>
        <w:tc>
          <w:tcPr>
            <w:tcW w:w="11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1162A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highlight w:val="none"/>
                <w:u w:val="none"/>
                <w:lang w:val="en-US" w:eastAsia="zh-CN"/>
              </w:rPr>
              <w:t>元/套·月</w:t>
            </w:r>
          </w:p>
        </w:tc>
        <w:tc>
          <w:tcPr>
            <w:tcW w:w="2583" w:type="dxa"/>
            <w:tcBorders>
              <w:top w:val="single" w:color="auto" w:sz="4" w:space="0"/>
              <w:left w:val="single" w:color="auto" w:sz="4" w:space="0"/>
              <w:bottom w:val="single" w:color="auto" w:sz="4" w:space="0"/>
              <w:right w:val="single" w:color="auto" w:sz="4" w:space="0"/>
            </w:tcBorders>
            <w:shd w:val="clear" w:color="auto" w:fill="auto"/>
            <w:vAlign w:val="center"/>
          </w:tcPr>
          <w:p w14:paraId="66216F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highlight w:val="none"/>
                <w:u w:val="none"/>
                <w:lang w:val="en-US" w:eastAsia="zh-CN"/>
              </w:rPr>
              <w:t>反映项目实施成本控制情况（因农村污水处理设施规模、处理方式、建设年限等不同，以项目内设施最高单价为例）</w:t>
            </w:r>
          </w:p>
        </w:tc>
        <w:tc>
          <w:tcPr>
            <w:tcW w:w="3087" w:type="dxa"/>
            <w:tcBorders>
              <w:top w:val="single" w:color="auto" w:sz="4" w:space="0"/>
              <w:left w:val="single" w:color="auto" w:sz="4" w:space="0"/>
              <w:bottom w:val="single" w:color="auto" w:sz="4" w:space="0"/>
              <w:right w:val="single" w:color="auto" w:sz="4" w:space="0"/>
            </w:tcBorders>
            <w:shd w:val="clear" w:color="auto" w:fill="auto"/>
            <w:vAlign w:val="center"/>
          </w:tcPr>
          <w:p w14:paraId="03AE34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highlight w:val="none"/>
                <w:u w:val="none"/>
                <w:lang w:val="en-US" w:eastAsia="zh-CN"/>
              </w:rPr>
              <w:t>评分标准：运行维护费用≤2310元/套·月，得满分。否则不得分</w:t>
            </w:r>
          </w:p>
        </w:tc>
      </w:tr>
      <w:tr w14:paraId="4571D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2" w:hRule="atLeast"/>
          <w:jc w:val="center"/>
        </w:trPr>
        <w:tc>
          <w:tcPr>
            <w:tcW w:w="1552" w:type="dxa"/>
            <w:vMerge w:val="continue"/>
            <w:tcBorders>
              <w:left w:val="single" w:color="auto" w:sz="4" w:space="0"/>
              <w:bottom w:val="single" w:color="auto" w:sz="4" w:space="0"/>
              <w:right w:val="single" w:color="auto" w:sz="4" w:space="0"/>
            </w:tcBorders>
            <w:shd w:val="clear" w:color="auto" w:fill="auto"/>
            <w:vAlign w:val="center"/>
          </w:tcPr>
          <w:p w14:paraId="1FB8D69F">
            <w:pPr>
              <w:jc w:val="center"/>
              <w:rPr>
                <w:rFonts w:hint="eastAsia" w:ascii="宋体" w:hAnsi="宋体" w:eastAsia="宋体" w:cs="宋体"/>
                <w:b/>
                <w:bCs/>
                <w:i w:val="0"/>
                <w:iCs w:val="0"/>
                <w:color w:val="000000"/>
                <w:sz w:val="20"/>
                <w:szCs w:val="20"/>
                <w:u w:val="none"/>
              </w:rPr>
            </w:pPr>
          </w:p>
        </w:tc>
        <w:tc>
          <w:tcPr>
            <w:tcW w:w="1494" w:type="dxa"/>
            <w:vMerge w:val="continue"/>
            <w:tcBorders>
              <w:left w:val="single" w:color="auto" w:sz="4" w:space="0"/>
              <w:bottom w:val="single" w:color="auto" w:sz="4" w:space="0"/>
              <w:right w:val="single" w:color="auto" w:sz="4" w:space="0"/>
            </w:tcBorders>
            <w:shd w:val="clear" w:color="auto" w:fill="auto"/>
            <w:vAlign w:val="center"/>
          </w:tcPr>
          <w:p w14:paraId="6430A76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527" w:type="dxa"/>
            <w:tcBorders>
              <w:top w:val="single" w:color="auto" w:sz="4" w:space="0"/>
              <w:left w:val="single" w:color="auto" w:sz="4" w:space="0"/>
              <w:bottom w:val="single" w:color="auto" w:sz="4" w:space="0"/>
              <w:right w:val="single" w:color="auto" w:sz="4" w:space="0"/>
            </w:tcBorders>
            <w:shd w:val="clear" w:color="auto" w:fill="auto"/>
            <w:vAlign w:val="center"/>
          </w:tcPr>
          <w:p w14:paraId="51F7ABE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highlight w:val="none"/>
                <w:u w:val="none"/>
                <w:lang w:val="en-US" w:eastAsia="zh-CN"/>
              </w:rPr>
              <w:t>运行维护管理费</w:t>
            </w:r>
          </w:p>
        </w:tc>
        <w:tc>
          <w:tcPr>
            <w:tcW w:w="1298" w:type="dxa"/>
            <w:tcBorders>
              <w:top w:val="single" w:color="auto" w:sz="4" w:space="0"/>
              <w:left w:val="single" w:color="auto" w:sz="4" w:space="0"/>
              <w:bottom w:val="single" w:color="auto" w:sz="4" w:space="0"/>
              <w:right w:val="single" w:color="auto" w:sz="4" w:space="0"/>
            </w:tcBorders>
            <w:shd w:val="clear" w:color="auto" w:fill="auto"/>
            <w:vAlign w:val="center"/>
          </w:tcPr>
          <w:p w14:paraId="5E36EB7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highlight w:val="none"/>
                <w:u w:val="none"/>
                <w:lang w:val="en-US" w:eastAsia="zh-CN"/>
              </w:rPr>
              <w:t>≤</w:t>
            </w:r>
          </w:p>
        </w:tc>
        <w:tc>
          <w:tcPr>
            <w:tcW w:w="1298" w:type="dxa"/>
            <w:tcBorders>
              <w:top w:val="single" w:color="auto" w:sz="4" w:space="0"/>
              <w:left w:val="single" w:color="auto" w:sz="4" w:space="0"/>
              <w:bottom w:val="single" w:color="auto" w:sz="4" w:space="0"/>
              <w:right w:val="single" w:color="auto" w:sz="4" w:space="0"/>
            </w:tcBorders>
            <w:shd w:val="clear" w:color="auto" w:fill="auto"/>
            <w:vAlign w:val="center"/>
          </w:tcPr>
          <w:p w14:paraId="2A1D2CA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highlight w:val="none"/>
                <w:u w:val="none"/>
                <w:lang w:val="en-US" w:eastAsia="zh-CN"/>
              </w:rPr>
              <w:t>277.2</w:t>
            </w:r>
          </w:p>
        </w:tc>
        <w:tc>
          <w:tcPr>
            <w:tcW w:w="11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D25447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highlight w:val="none"/>
                <w:u w:val="none"/>
                <w:lang w:val="en-US" w:eastAsia="zh-CN"/>
              </w:rPr>
              <w:t>元/套·月</w:t>
            </w:r>
          </w:p>
        </w:tc>
        <w:tc>
          <w:tcPr>
            <w:tcW w:w="2583" w:type="dxa"/>
            <w:tcBorders>
              <w:top w:val="single" w:color="auto" w:sz="4" w:space="0"/>
              <w:left w:val="single" w:color="auto" w:sz="4" w:space="0"/>
              <w:bottom w:val="single" w:color="auto" w:sz="4" w:space="0"/>
              <w:right w:val="single" w:color="auto" w:sz="4" w:space="0"/>
            </w:tcBorders>
            <w:shd w:val="clear" w:color="auto" w:fill="auto"/>
            <w:vAlign w:val="center"/>
          </w:tcPr>
          <w:p w14:paraId="562BF03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highlight w:val="none"/>
                <w:u w:val="none"/>
                <w:lang w:val="en-US" w:eastAsia="zh-CN"/>
              </w:rPr>
              <w:t>反映项目实施成本控制情况（因农村污水处理设施规模、处理方式、建设年限等不同，以项目内设施最高单价为例）</w:t>
            </w:r>
          </w:p>
        </w:tc>
        <w:tc>
          <w:tcPr>
            <w:tcW w:w="3087" w:type="dxa"/>
            <w:tcBorders>
              <w:top w:val="single" w:color="auto" w:sz="4" w:space="0"/>
              <w:left w:val="single" w:color="auto" w:sz="4" w:space="0"/>
              <w:bottom w:val="single" w:color="auto" w:sz="4" w:space="0"/>
              <w:right w:val="single" w:color="auto" w:sz="4" w:space="0"/>
            </w:tcBorders>
            <w:shd w:val="clear" w:color="auto" w:fill="auto"/>
            <w:vAlign w:val="center"/>
          </w:tcPr>
          <w:p w14:paraId="0CCAD94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highlight w:val="none"/>
                <w:u w:val="none"/>
                <w:lang w:val="en-US" w:eastAsia="zh-CN"/>
              </w:rPr>
              <w:t>评分标准：运行维护管理费用≤277.2元/套·月，得满分。否则不得分</w:t>
            </w:r>
          </w:p>
        </w:tc>
      </w:tr>
      <w:tr w14:paraId="22F3F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7" w:hRule="atLeast"/>
          <w:jc w:val="center"/>
        </w:trPr>
        <w:tc>
          <w:tcPr>
            <w:tcW w:w="1552" w:type="dxa"/>
            <w:tcBorders>
              <w:top w:val="single" w:color="auto" w:sz="4" w:space="0"/>
              <w:left w:val="single" w:color="auto" w:sz="4" w:space="0"/>
              <w:bottom w:val="single" w:color="auto" w:sz="4" w:space="0"/>
              <w:right w:val="single" w:color="auto" w:sz="4" w:space="0"/>
            </w:tcBorders>
            <w:shd w:val="clear" w:color="auto" w:fill="auto"/>
            <w:vAlign w:val="center"/>
          </w:tcPr>
          <w:p w14:paraId="7EA5CF6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效益指标</w:t>
            </w:r>
          </w:p>
        </w:tc>
        <w:tc>
          <w:tcPr>
            <w:tcW w:w="1494" w:type="dxa"/>
            <w:tcBorders>
              <w:top w:val="single" w:color="auto" w:sz="4" w:space="0"/>
              <w:left w:val="single" w:color="auto" w:sz="4" w:space="0"/>
              <w:bottom w:val="single" w:color="auto" w:sz="4" w:space="0"/>
              <w:right w:val="single" w:color="auto" w:sz="4" w:space="0"/>
            </w:tcBorders>
            <w:shd w:val="clear" w:color="auto" w:fill="auto"/>
            <w:vAlign w:val="center"/>
          </w:tcPr>
          <w:p w14:paraId="30FBD9A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社会效益指标</w:t>
            </w:r>
          </w:p>
        </w:tc>
        <w:tc>
          <w:tcPr>
            <w:tcW w:w="2527" w:type="dxa"/>
            <w:tcBorders>
              <w:top w:val="single" w:color="auto" w:sz="4" w:space="0"/>
              <w:left w:val="single" w:color="auto" w:sz="4" w:space="0"/>
              <w:bottom w:val="single" w:color="auto" w:sz="4" w:space="0"/>
              <w:right w:val="single" w:color="auto" w:sz="4" w:space="0"/>
            </w:tcBorders>
            <w:shd w:val="clear" w:color="auto" w:fill="auto"/>
            <w:vAlign w:val="center"/>
          </w:tcPr>
          <w:p w14:paraId="085F41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促进乡村环境改变</w:t>
            </w:r>
          </w:p>
        </w:tc>
        <w:tc>
          <w:tcPr>
            <w:tcW w:w="1298" w:type="dxa"/>
            <w:tcBorders>
              <w:top w:val="single" w:color="auto" w:sz="4" w:space="0"/>
              <w:left w:val="single" w:color="auto" w:sz="4" w:space="0"/>
              <w:bottom w:val="single" w:color="auto" w:sz="4" w:space="0"/>
              <w:right w:val="single" w:color="auto" w:sz="4" w:space="0"/>
            </w:tcBorders>
            <w:shd w:val="clear" w:color="auto" w:fill="auto"/>
            <w:vAlign w:val="center"/>
          </w:tcPr>
          <w:p w14:paraId="6B3B0C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定性</w:t>
            </w:r>
          </w:p>
        </w:tc>
        <w:tc>
          <w:tcPr>
            <w:tcW w:w="1298" w:type="dxa"/>
            <w:tcBorders>
              <w:top w:val="single" w:color="auto" w:sz="4" w:space="0"/>
              <w:left w:val="single" w:color="auto" w:sz="4" w:space="0"/>
              <w:bottom w:val="single" w:color="auto" w:sz="4" w:space="0"/>
              <w:right w:val="single" w:color="auto" w:sz="4" w:space="0"/>
            </w:tcBorders>
            <w:shd w:val="clear" w:color="auto" w:fill="auto"/>
            <w:vAlign w:val="center"/>
          </w:tcPr>
          <w:p w14:paraId="47487D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促进</w:t>
            </w:r>
          </w:p>
        </w:tc>
        <w:tc>
          <w:tcPr>
            <w:tcW w:w="11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D816089">
            <w:pPr>
              <w:jc w:val="center"/>
              <w:rPr>
                <w:rFonts w:hint="eastAsia" w:ascii="宋体" w:hAnsi="宋体" w:eastAsia="宋体" w:cs="宋体"/>
                <w:i w:val="0"/>
                <w:iCs w:val="0"/>
                <w:color w:val="000000"/>
                <w:sz w:val="22"/>
                <w:szCs w:val="22"/>
                <w:u w:val="none"/>
              </w:rPr>
            </w:pPr>
          </w:p>
        </w:tc>
        <w:tc>
          <w:tcPr>
            <w:tcW w:w="2583" w:type="dxa"/>
            <w:tcBorders>
              <w:top w:val="single" w:color="auto" w:sz="4" w:space="0"/>
              <w:left w:val="single" w:color="auto" w:sz="4" w:space="0"/>
              <w:bottom w:val="single" w:color="auto" w:sz="4" w:space="0"/>
              <w:right w:val="single" w:color="auto" w:sz="4" w:space="0"/>
            </w:tcBorders>
            <w:shd w:val="clear" w:color="auto" w:fill="auto"/>
            <w:vAlign w:val="center"/>
          </w:tcPr>
          <w:p w14:paraId="5156D2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反映本项目实施后，对促进乡村环境改变的影响</w:t>
            </w:r>
          </w:p>
        </w:tc>
        <w:tc>
          <w:tcPr>
            <w:tcW w:w="3087" w:type="dxa"/>
            <w:tcBorders>
              <w:top w:val="single" w:color="auto" w:sz="4" w:space="0"/>
              <w:left w:val="single" w:color="auto" w:sz="4" w:space="0"/>
              <w:bottom w:val="single" w:color="auto" w:sz="4" w:space="0"/>
              <w:right w:val="single" w:color="auto" w:sz="4" w:space="0"/>
            </w:tcBorders>
            <w:shd w:val="clear" w:color="auto" w:fill="auto"/>
            <w:vAlign w:val="center"/>
          </w:tcPr>
          <w:p w14:paraId="2FC626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评分标准：设施所在村组基本看不到污水横流，否则不得分。</w:t>
            </w:r>
          </w:p>
        </w:tc>
      </w:tr>
      <w:tr w14:paraId="5656C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6" w:hRule="atLeast"/>
          <w:jc w:val="center"/>
        </w:trPr>
        <w:tc>
          <w:tcPr>
            <w:tcW w:w="1552" w:type="dxa"/>
            <w:tcBorders>
              <w:top w:val="single" w:color="auto" w:sz="4" w:space="0"/>
              <w:left w:val="single" w:color="auto" w:sz="4" w:space="0"/>
              <w:bottom w:val="single" w:color="auto" w:sz="4" w:space="0"/>
              <w:right w:val="single" w:color="auto" w:sz="4" w:space="0"/>
            </w:tcBorders>
            <w:shd w:val="clear" w:color="auto" w:fill="auto"/>
            <w:vAlign w:val="center"/>
          </w:tcPr>
          <w:p w14:paraId="5E7CB921">
            <w:pPr>
              <w:jc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效益指标</w:t>
            </w:r>
          </w:p>
        </w:tc>
        <w:tc>
          <w:tcPr>
            <w:tcW w:w="1494" w:type="dxa"/>
            <w:tcBorders>
              <w:top w:val="single" w:color="auto" w:sz="4" w:space="0"/>
              <w:left w:val="single" w:color="auto" w:sz="4" w:space="0"/>
              <w:bottom w:val="single" w:color="auto" w:sz="4" w:space="0"/>
              <w:right w:val="single" w:color="auto" w:sz="4" w:space="0"/>
            </w:tcBorders>
            <w:shd w:val="clear" w:color="auto" w:fill="auto"/>
            <w:vAlign w:val="center"/>
          </w:tcPr>
          <w:p w14:paraId="1046E9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生态效益指标</w:t>
            </w:r>
          </w:p>
        </w:tc>
        <w:tc>
          <w:tcPr>
            <w:tcW w:w="2527" w:type="dxa"/>
            <w:tcBorders>
              <w:top w:val="single" w:color="auto" w:sz="4" w:space="0"/>
              <w:left w:val="single" w:color="auto" w:sz="4" w:space="0"/>
              <w:bottom w:val="single" w:color="auto" w:sz="4" w:space="0"/>
              <w:right w:val="single" w:color="auto" w:sz="4" w:space="0"/>
            </w:tcBorders>
            <w:shd w:val="clear" w:color="auto" w:fill="auto"/>
            <w:vAlign w:val="center"/>
          </w:tcPr>
          <w:p w14:paraId="0C1EC8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污水排放标准要求达标</w:t>
            </w:r>
          </w:p>
        </w:tc>
        <w:tc>
          <w:tcPr>
            <w:tcW w:w="1298" w:type="dxa"/>
            <w:tcBorders>
              <w:top w:val="single" w:color="auto" w:sz="4" w:space="0"/>
              <w:left w:val="single" w:color="auto" w:sz="4" w:space="0"/>
              <w:bottom w:val="single" w:color="auto" w:sz="4" w:space="0"/>
              <w:right w:val="single" w:color="auto" w:sz="4" w:space="0"/>
            </w:tcBorders>
            <w:shd w:val="clear" w:color="auto" w:fill="auto"/>
            <w:vAlign w:val="center"/>
          </w:tcPr>
          <w:p w14:paraId="0B11BE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定性</w:t>
            </w:r>
          </w:p>
        </w:tc>
        <w:tc>
          <w:tcPr>
            <w:tcW w:w="1298" w:type="dxa"/>
            <w:tcBorders>
              <w:top w:val="single" w:color="auto" w:sz="4" w:space="0"/>
              <w:left w:val="single" w:color="auto" w:sz="4" w:space="0"/>
              <w:bottom w:val="single" w:color="auto" w:sz="4" w:space="0"/>
              <w:right w:val="single" w:color="auto" w:sz="4" w:space="0"/>
            </w:tcBorders>
            <w:shd w:val="clear" w:color="auto" w:fill="auto"/>
            <w:vAlign w:val="center"/>
          </w:tcPr>
          <w:p w14:paraId="0EB63E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达标</w:t>
            </w:r>
          </w:p>
        </w:tc>
        <w:tc>
          <w:tcPr>
            <w:tcW w:w="11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28A57DC">
            <w:pPr>
              <w:jc w:val="center"/>
              <w:rPr>
                <w:rFonts w:hint="eastAsia" w:ascii="宋体" w:hAnsi="宋体" w:eastAsia="宋体" w:cs="宋体"/>
                <w:i w:val="0"/>
                <w:iCs w:val="0"/>
                <w:color w:val="000000"/>
                <w:sz w:val="22"/>
                <w:szCs w:val="22"/>
                <w:u w:val="none"/>
              </w:rPr>
            </w:pPr>
          </w:p>
        </w:tc>
        <w:tc>
          <w:tcPr>
            <w:tcW w:w="2583" w:type="dxa"/>
            <w:tcBorders>
              <w:top w:val="single" w:color="auto" w:sz="4" w:space="0"/>
              <w:left w:val="single" w:color="auto" w:sz="4" w:space="0"/>
              <w:bottom w:val="single" w:color="auto" w:sz="4" w:space="0"/>
              <w:right w:val="single" w:color="auto" w:sz="4" w:space="0"/>
            </w:tcBorders>
            <w:shd w:val="clear" w:color="auto" w:fill="auto"/>
            <w:vAlign w:val="center"/>
          </w:tcPr>
          <w:p w14:paraId="647963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反映本项目实施后，污水排放是否可以达到预期标准</w:t>
            </w:r>
          </w:p>
        </w:tc>
        <w:tc>
          <w:tcPr>
            <w:tcW w:w="3087" w:type="dxa"/>
            <w:tcBorders>
              <w:top w:val="single" w:color="auto" w:sz="4" w:space="0"/>
              <w:left w:val="single" w:color="auto" w:sz="4" w:space="0"/>
              <w:bottom w:val="single" w:color="auto" w:sz="4" w:space="0"/>
              <w:right w:val="single" w:color="auto" w:sz="4" w:space="0"/>
            </w:tcBorders>
            <w:shd w:val="clear" w:color="auto" w:fill="auto"/>
            <w:vAlign w:val="center"/>
          </w:tcPr>
          <w:p w14:paraId="61C35B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评分标准：符合《贵州省农村生活污水处理水污染物排放标准》（DB52/ 1424—2019）</w:t>
            </w:r>
          </w:p>
        </w:tc>
      </w:tr>
      <w:tr w14:paraId="0412D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6" w:hRule="atLeast"/>
          <w:jc w:val="center"/>
        </w:trPr>
        <w:tc>
          <w:tcPr>
            <w:tcW w:w="1552" w:type="dxa"/>
            <w:tcBorders>
              <w:top w:val="single" w:color="auto" w:sz="4" w:space="0"/>
              <w:left w:val="single" w:color="auto" w:sz="4" w:space="0"/>
              <w:bottom w:val="single" w:color="auto" w:sz="4" w:space="0"/>
              <w:right w:val="single" w:color="auto" w:sz="4" w:space="0"/>
            </w:tcBorders>
            <w:shd w:val="clear" w:color="auto" w:fill="auto"/>
            <w:vAlign w:val="center"/>
          </w:tcPr>
          <w:p w14:paraId="05F3F7B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满意度指标</w:t>
            </w:r>
          </w:p>
        </w:tc>
        <w:tc>
          <w:tcPr>
            <w:tcW w:w="1494" w:type="dxa"/>
            <w:tcBorders>
              <w:top w:val="single" w:color="auto" w:sz="4" w:space="0"/>
              <w:left w:val="single" w:color="auto" w:sz="4" w:space="0"/>
              <w:bottom w:val="single" w:color="auto" w:sz="4" w:space="0"/>
              <w:right w:val="single" w:color="auto" w:sz="4" w:space="0"/>
            </w:tcBorders>
            <w:shd w:val="clear" w:color="auto" w:fill="auto"/>
            <w:vAlign w:val="center"/>
          </w:tcPr>
          <w:p w14:paraId="57405F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满意度指标</w:t>
            </w:r>
          </w:p>
        </w:tc>
        <w:tc>
          <w:tcPr>
            <w:tcW w:w="2527" w:type="dxa"/>
            <w:tcBorders>
              <w:top w:val="single" w:color="auto" w:sz="4" w:space="0"/>
              <w:left w:val="single" w:color="auto" w:sz="4" w:space="0"/>
              <w:bottom w:val="single" w:color="auto" w:sz="4" w:space="0"/>
              <w:right w:val="single" w:color="auto" w:sz="4" w:space="0"/>
            </w:tcBorders>
            <w:shd w:val="clear" w:color="auto" w:fill="auto"/>
            <w:vAlign w:val="center"/>
          </w:tcPr>
          <w:p w14:paraId="174EFD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群众满意度</w:t>
            </w:r>
          </w:p>
        </w:tc>
        <w:tc>
          <w:tcPr>
            <w:tcW w:w="1298" w:type="dxa"/>
            <w:tcBorders>
              <w:top w:val="single" w:color="auto" w:sz="4" w:space="0"/>
              <w:left w:val="single" w:color="auto" w:sz="4" w:space="0"/>
              <w:bottom w:val="single" w:color="auto" w:sz="4" w:space="0"/>
              <w:right w:val="single" w:color="auto" w:sz="4" w:space="0"/>
            </w:tcBorders>
            <w:shd w:val="clear" w:color="auto" w:fill="auto"/>
            <w:vAlign w:val="center"/>
          </w:tcPr>
          <w:p w14:paraId="62C23C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298" w:type="dxa"/>
            <w:tcBorders>
              <w:top w:val="single" w:color="auto" w:sz="4" w:space="0"/>
              <w:left w:val="single" w:color="auto" w:sz="4" w:space="0"/>
              <w:bottom w:val="single" w:color="auto" w:sz="4" w:space="0"/>
              <w:right w:val="single" w:color="auto" w:sz="4" w:space="0"/>
            </w:tcBorders>
            <w:shd w:val="clear" w:color="auto" w:fill="auto"/>
            <w:vAlign w:val="center"/>
          </w:tcPr>
          <w:p w14:paraId="29E036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w:t>
            </w:r>
          </w:p>
        </w:tc>
        <w:tc>
          <w:tcPr>
            <w:tcW w:w="11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21C0D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2583" w:type="dxa"/>
            <w:tcBorders>
              <w:top w:val="single" w:color="auto" w:sz="4" w:space="0"/>
              <w:left w:val="single" w:color="auto" w:sz="4" w:space="0"/>
              <w:bottom w:val="single" w:color="auto" w:sz="4" w:space="0"/>
              <w:right w:val="single" w:color="auto" w:sz="4" w:space="0"/>
            </w:tcBorders>
            <w:shd w:val="clear" w:color="auto" w:fill="auto"/>
            <w:vAlign w:val="center"/>
          </w:tcPr>
          <w:p w14:paraId="35E21A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反映主管部门对本项目实施后的满意度情况</w:t>
            </w:r>
          </w:p>
        </w:tc>
        <w:tc>
          <w:tcPr>
            <w:tcW w:w="3087" w:type="dxa"/>
            <w:tcBorders>
              <w:top w:val="single" w:color="auto" w:sz="4" w:space="0"/>
              <w:left w:val="single" w:color="auto" w:sz="4" w:space="0"/>
              <w:bottom w:val="single" w:color="auto" w:sz="4" w:space="0"/>
              <w:right w:val="single" w:color="auto" w:sz="4" w:space="0"/>
            </w:tcBorders>
            <w:shd w:val="clear" w:color="auto" w:fill="auto"/>
            <w:vAlign w:val="center"/>
          </w:tcPr>
          <w:p w14:paraId="1E5906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根据满意度计算得分，低于60%，不得分。</w:t>
            </w:r>
          </w:p>
        </w:tc>
      </w:tr>
      <w:tr w14:paraId="69B0C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1552" w:type="dxa"/>
            <w:tcBorders>
              <w:top w:val="single" w:color="auto" w:sz="4" w:space="0"/>
              <w:left w:val="single" w:color="auto" w:sz="4" w:space="0"/>
              <w:bottom w:val="single" w:color="auto" w:sz="4" w:space="0"/>
              <w:right w:val="single" w:color="auto" w:sz="4" w:space="0"/>
            </w:tcBorders>
            <w:shd w:val="clear" w:color="auto" w:fill="auto"/>
            <w:vAlign w:val="center"/>
          </w:tcPr>
          <w:p w14:paraId="0F41657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联系人及电话</w:t>
            </w:r>
          </w:p>
        </w:tc>
        <w:tc>
          <w:tcPr>
            <w:tcW w:w="13464" w:type="dxa"/>
            <w:gridSpan w:val="8"/>
            <w:tcBorders>
              <w:top w:val="single" w:color="auto" w:sz="4" w:space="0"/>
              <w:left w:val="single" w:color="auto" w:sz="4" w:space="0"/>
              <w:bottom w:val="single" w:color="auto" w:sz="4" w:space="0"/>
              <w:right w:val="single" w:color="auto" w:sz="4" w:space="0"/>
            </w:tcBorders>
            <w:shd w:val="clear" w:color="auto" w:fill="auto"/>
            <w:vAlign w:val="center"/>
          </w:tcPr>
          <w:p w14:paraId="23E1B3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55E53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2" w:hRule="atLeast"/>
          <w:jc w:val="center"/>
        </w:trPr>
        <w:tc>
          <w:tcPr>
            <w:tcW w:w="15016" w:type="dxa"/>
            <w:gridSpan w:val="9"/>
            <w:tcBorders>
              <w:top w:val="single" w:color="auto" w:sz="4" w:space="0"/>
              <w:left w:val="nil"/>
              <w:bottom w:val="nil"/>
              <w:right w:val="nil"/>
            </w:tcBorders>
            <w:shd w:val="clear" w:color="auto" w:fill="auto"/>
            <w:vAlign w:val="center"/>
          </w:tcPr>
          <w:p w14:paraId="2D6241B2">
            <w:pPr>
              <w:keepNext w:val="0"/>
              <w:keepLines w:val="0"/>
              <w:widowControl/>
              <w:suppressLineNumbers w:val="0"/>
              <w:jc w:val="left"/>
              <w:textAlignment w:val="center"/>
              <w:rPr>
                <w:rFonts w:hint="eastAsia" w:ascii="宋体" w:hAnsi="宋体" w:eastAsia="宋体" w:cs="宋体"/>
                <w:b/>
                <w:bCs/>
                <w:i w:val="0"/>
                <w:iCs w:val="0"/>
                <w:color w:val="FF0000"/>
                <w:sz w:val="18"/>
                <w:szCs w:val="18"/>
                <w:u w:val="none"/>
              </w:rPr>
            </w:pPr>
          </w:p>
        </w:tc>
      </w:tr>
    </w:tbl>
    <w:p w14:paraId="1296F557">
      <w:pPr>
        <w:rPr>
          <w:rFonts w:hint="eastAsia"/>
        </w:rPr>
      </w:pPr>
      <w:r>
        <w:rPr>
          <w:rFonts w:hint="eastAsia"/>
        </w:rPr>
        <w:br w:type="page"/>
      </w:r>
    </w:p>
    <w:p w14:paraId="1041DBAF">
      <w:pPr>
        <w:keepNext w:val="0"/>
        <w:keepLines w:val="0"/>
        <w:pageBreakBefore w:val="0"/>
        <w:widowControl w:val="0"/>
        <w:kinsoku/>
        <w:wordWrap/>
        <w:overflowPunct/>
        <w:topLinePunct w:val="0"/>
        <w:autoSpaceDE/>
        <w:autoSpaceDN/>
        <w:bidi w:val="0"/>
        <w:adjustRightInd/>
        <w:spacing w:line="550" w:lineRule="exact"/>
        <w:jc w:val="center"/>
        <w:textAlignment w:val="auto"/>
        <w:rPr>
          <w:rFonts w:hint="eastAsia" w:ascii="微软雅黑" w:hAnsi="微软雅黑" w:eastAsia="微软雅黑" w:cs="微软雅黑"/>
          <w:bCs/>
          <w:sz w:val="44"/>
          <w:szCs w:val="44"/>
          <w:lang w:eastAsia="zh-CN"/>
        </w:rPr>
      </w:pPr>
      <w:r>
        <w:rPr>
          <w:rFonts w:hint="eastAsia" w:ascii="微软雅黑" w:hAnsi="微软雅黑" w:eastAsia="微软雅黑" w:cs="微软雅黑"/>
          <w:bCs/>
          <w:sz w:val="44"/>
          <w:szCs w:val="44"/>
          <w:lang w:eastAsia="zh-CN"/>
        </w:rPr>
        <w:t>项目</w:t>
      </w:r>
      <w:r>
        <w:rPr>
          <w:rFonts w:hint="eastAsia" w:ascii="微软雅黑" w:hAnsi="微软雅黑" w:eastAsia="微软雅黑" w:cs="微软雅黑"/>
          <w:bCs/>
          <w:sz w:val="44"/>
          <w:szCs w:val="44"/>
          <w:lang w:val="en-US" w:eastAsia="zh-CN"/>
        </w:rPr>
        <w:t>7：</w:t>
      </w:r>
      <w:r>
        <w:rPr>
          <w:rFonts w:hint="eastAsia" w:ascii="微软雅黑" w:hAnsi="微软雅黑" w:eastAsia="微软雅黑" w:cs="微软雅黑"/>
          <w:bCs/>
          <w:sz w:val="44"/>
          <w:szCs w:val="44"/>
          <w:lang w:eastAsia="zh-CN"/>
        </w:rPr>
        <w:t>贵安新区公共安全和社会事务视频监控项目</w:t>
      </w:r>
    </w:p>
    <w:p w14:paraId="5C5FE585">
      <w:pPr>
        <w:keepNext w:val="0"/>
        <w:keepLines w:val="0"/>
        <w:pageBreakBefore w:val="0"/>
        <w:widowControl w:val="0"/>
        <w:kinsoku/>
        <w:wordWrap/>
        <w:overflowPunct/>
        <w:topLinePunct w:val="0"/>
        <w:autoSpaceDE/>
        <w:autoSpaceDN/>
        <w:bidi w:val="0"/>
        <w:adjustRightInd/>
        <w:spacing w:line="580" w:lineRule="exact"/>
        <w:jc w:val="center"/>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（贵州贵安新区大数据和科技创新局）</w:t>
      </w:r>
    </w:p>
    <w:p w14:paraId="32878C46">
      <w:pPr>
        <w:keepNext w:val="0"/>
        <w:keepLines w:val="0"/>
        <w:pageBreakBefore w:val="0"/>
        <w:widowControl w:val="0"/>
        <w:kinsoku/>
        <w:wordWrap/>
        <w:overflowPunct/>
        <w:topLinePunct w:val="0"/>
        <w:autoSpaceDE/>
        <w:autoSpaceDN/>
        <w:bidi w:val="0"/>
        <w:adjustRightInd/>
        <w:spacing w:line="580" w:lineRule="exact"/>
        <w:jc w:val="center"/>
        <w:textAlignment w:val="auto"/>
        <w:rPr>
          <w:rFonts w:hint="eastAsia" w:ascii="楷体_GB2312" w:hAnsi="楷体_GB2312" w:eastAsia="楷体_GB2312" w:cs="楷体_GB2312"/>
          <w:sz w:val="32"/>
          <w:szCs w:val="32"/>
          <w:lang w:eastAsia="zh-CN"/>
        </w:rPr>
      </w:pPr>
    </w:p>
    <w:p w14:paraId="10CFBCBB">
      <w:pPr>
        <w:keepNext w:val="0"/>
        <w:keepLines w:val="0"/>
        <w:pageBreakBefore w:val="0"/>
        <w:widowControl w:val="0"/>
        <w:kinsoku/>
        <w:wordWrap/>
        <w:overflowPunct/>
        <w:topLinePunct w:val="0"/>
        <w:autoSpaceDE/>
        <w:autoSpaceDN/>
        <w:bidi w:val="0"/>
        <w:adjustRightInd/>
        <w:spacing w:line="560" w:lineRule="exact"/>
        <w:ind w:firstLine="644"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一、项目概述</w:t>
      </w:r>
    </w:p>
    <w:p w14:paraId="261D48C1">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60" w:lineRule="exact"/>
        <w:ind w:firstLine="644" w:firstLineChars="200"/>
        <w:jc w:val="left"/>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2024年6月19日贵州贵安新区管理委员会研究贵安新区公共安全和社会事务视频监控建设有关事宜，会议要求加快视频汇聚平台建设、启动视频监控点位需求调研。2024年6月24日、7月14日贵安大数据科创局完成第一、二轮需求摸排；2024年8月7日、9日、26日，贵安大数据科创局会同贵安公安局开展项目论证。2024年8月27日贵安新区大数据科创局联合贵安新区公安局向新区管理委员会报送《关于启动实施贵安新区公共安全和社会事务视频监控项目的请示》，经贵安新区管委会2024年第37次主任办公会研究，原则同意按程序组织实施。贵安新区公共安全和社会事务视频监控项目（以下简称“项目”）主要采购内容为：一是前端部分。新增枪机、球机、半球机、人脸识别（人像）、车辆卡口（车卡）、高点鹰眼、高点云台7种前端视频监控设备（新增点位≤7814个）。二是后端部分。建立贵安新区的视频汇聚共享节点，对贵安新区所有新建监控点位数据进行汇聚和已建资源的纳管，并且为适应未来5年的发展与建设，视频共享节点需承载不低于20万路级视频接入汇聚能力，实现向项目需求单位、贵安城运中心进行视频推送。（本项目需求单位包括：贵安新区公安局、贵安新区综合行政执法支队、贵安新区安全生产监督管理局、贵安新区城乡建设局、贵安新区生态环境局、贵安新区公路局、贵安新区消防救援支队、贵安新区社会事业管理局）</w:t>
      </w:r>
    </w:p>
    <w:p w14:paraId="169C4EC9">
      <w:pPr>
        <w:keepNext w:val="0"/>
        <w:keepLines w:val="0"/>
        <w:pageBreakBefore w:val="0"/>
        <w:widowControl w:val="0"/>
        <w:kinsoku/>
        <w:wordWrap/>
        <w:overflowPunct/>
        <w:topLinePunct w:val="0"/>
        <w:autoSpaceDE/>
        <w:autoSpaceDN/>
        <w:bidi w:val="0"/>
        <w:adjustRightInd/>
        <w:spacing w:line="560" w:lineRule="exact"/>
        <w:ind w:firstLine="644"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二、立项依据</w:t>
      </w:r>
    </w:p>
    <w:p w14:paraId="297AAF10">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60" w:lineRule="exact"/>
        <w:ind w:firstLine="644" w:firstLineChars="200"/>
        <w:jc w:val="left"/>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根据《国务院办公厅关于印发全国一体化政务大数据体系建设指南的通知》（国办函〔2022〕102号）《贵安新区总体规划（2013—2030年）》《关于启动实施贵安新区公共安全和社会事务视频监控项目的请示》等文件精神，经新区党工委、管委会研究同意实施本项目。</w:t>
      </w:r>
    </w:p>
    <w:p w14:paraId="3B663F79">
      <w:pPr>
        <w:keepNext w:val="0"/>
        <w:keepLines w:val="0"/>
        <w:pageBreakBefore w:val="0"/>
        <w:widowControl w:val="0"/>
        <w:kinsoku/>
        <w:wordWrap/>
        <w:overflowPunct/>
        <w:topLinePunct w:val="0"/>
        <w:autoSpaceDE/>
        <w:autoSpaceDN/>
        <w:bidi w:val="0"/>
        <w:adjustRightInd/>
        <w:spacing w:line="560" w:lineRule="exact"/>
        <w:ind w:firstLine="644"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三、实施主体</w:t>
      </w:r>
    </w:p>
    <w:p w14:paraId="4A7E9FE8">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60" w:lineRule="exact"/>
        <w:ind w:firstLine="644" w:firstLineChars="200"/>
        <w:jc w:val="left"/>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贵安新区管理委员会大数据和科技创新局。</w:t>
      </w:r>
    </w:p>
    <w:p w14:paraId="18CDD204">
      <w:pPr>
        <w:keepNext w:val="0"/>
        <w:keepLines w:val="0"/>
        <w:pageBreakBefore w:val="0"/>
        <w:widowControl w:val="0"/>
        <w:kinsoku/>
        <w:wordWrap/>
        <w:overflowPunct/>
        <w:topLinePunct w:val="0"/>
        <w:autoSpaceDE/>
        <w:autoSpaceDN/>
        <w:bidi w:val="0"/>
        <w:adjustRightInd/>
        <w:spacing w:line="560" w:lineRule="exact"/>
        <w:ind w:firstLine="644"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四、实施方案</w:t>
      </w:r>
    </w:p>
    <w:p w14:paraId="33493985">
      <w:pPr>
        <w:keepNext w:val="0"/>
        <w:keepLines w:val="0"/>
        <w:pageBreakBefore w:val="0"/>
        <w:widowControl w:val="0"/>
        <w:kinsoku/>
        <w:wordWrap/>
        <w:overflowPunct/>
        <w:topLinePunct w:val="0"/>
        <w:autoSpaceDE/>
        <w:autoSpaceDN/>
        <w:bidi w:val="0"/>
        <w:adjustRightInd/>
        <w:spacing w:line="560" w:lineRule="exact"/>
        <w:ind w:firstLine="644" w:firstLineChars="200"/>
        <w:textAlignment w:val="auto"/>
        <w:rPr>
          <w:rFonts w:ascii="Times New Roman" w:hAnsi="Times New Roman" w:eastAsia="楷体_GB2312" w:cs="Times New Roman"/>
          <w:sz w:val="32"/>
          <w:szCs w:val="32"/>
        </w:rPr>
      </w:pPr>
      <w:r>
        <w:rPr>
          <w:rFonts w:ascii="Times New Roman" w:hAnsi="Times New Roman" w:eastAsia="楷体_GB2312" w:cs="Times New Roman"/>
          <w:sz w:val="32"/>
          <w:szCs w:val="32"/>
        </w:rPr>
        <w:t>（一）工作目标</w:t>
      </w:r>
    </w:p>
    <w:p w14:paraId="1F06567D">
      <w:pPr>
        <w:keepNext w:val="0"/>
        <w:keepLines w:val="0"/>
        <w:pageBreakBefore w:val="0"/>
        <w:widowControl w:val="0"/>
        <w:kinsoku/>
        <w:wordWrap/>
        <w:overflowPunct/>
        <w:topLinePunct w:val="0"/>
        <w:autoSpaceDE/>
        <w:autoSpaceDN/>
        <w:bidi w:val="0"/>
        <w:adjustRightInd/>
        <w:spacing w:line="560" w:lineRule="exact"/>
        <w:ind w:firstLine="644" w:firstLineChars="200"/>
        <w:textAlignment w:val="auto"/>
        <w:rPr>
          <w:rFonts w:ascii="Times New Roman" w:hAnsi="Times New Roman" w:eastAsia="仿宋_GB2312" w:cs="Times New Roman"/>
          <w:color w:val="000000"/>
          <w:sz w:val="32"/>
          <w:szCs w:val="32"/>
        </w:rPr>
      </w:pPr>
      <w:r>
        <w:rPr>
          <w:rFonts w:ascii="Times New Roman" w:hAnsi="Times New Roman" w:eastAsia="黑体" w:cs="Times New Roman"/>
          <w:color w:val="000000"/>
          <w:sz w:val="32"/>
          <w:szCs w:val="32"/>
        </w:rPr>
        <w:t>1.提升公共安全防控能力。</w:t>
      </w:r>
      <w:r>
        <w:rPr>
          <w:rFonts w:ascii="Times New Roman" w:hAnsi="Times New Roman" w:eastAsia="仿宋_GB2312" w:cs="Times New Roman"/>
          <w:color w:val="000000"/>
          <w:sz w:val="32"/>
          <w:szCs w:val="32"/>
        </w:rPr>
        <w:t>确保关键区域（如交通枢纽、学校、医院、政府机构、商圈等）及易发案区域的视频监控覆盖和高风险点重点布控，健全城市管理的“基础设施”。</w:t>
      </w:r>
    </w:p>
    <w:p w14:paraId="5C4F5F6E">
      <w:pPr>
        <w:keepNext w:val="0"/>
        <w:keepLines w:val="0"/>
        <w:pageBreakBefore w:val="0"/>
        <w:widowControl w:val="0"/>
        <w:kinsoku/>
        <w:wordWrap/>
        <w:overflowPunct/>
        <w:topLinePunct w:val="0"/>
        <w:autoSpaceDE/>
        <w:autoSpaceDN/>
        <w:bidi w:val="0"/>
        <w:adjustRightInd/>
        <w:spacing w:line="560" w:lineRule="exact"/>
        <w:ind w:firstLine="644" w:firstLineChars="200"/>
        <w:textAlignment w:val="auto"/>
        <w:rPr>
          <w:rFonts w:ascii="Times New Roman" w:hAnsi="Times New Roman" w:eastAsia="仿宋_GB2312" w:cs="Times New Roman"/>
          <w:color w:val="000000"/>
          <w:sz w:val="32"/>
          <w:szCs w:val="32"/>
        </w:rPr>
      </w:pPr>
      <w:r>
        <w:rPr>
          <w:rFonts w:ascii="Times New Roman" w:hAnsi="Times New Roman" w:eastAsia="黑体" w:cs="Times New Roman"/>
          <w:color w:val="000000"/>
          <w:sz w:val="32"/>
          <w:szCs w:val="32"/>
        </w:rPr>
        <w:t>2.视频汇聚平台建设共建共享。</w:t>
      </w:r>
      <w:r>
        <w:rPr>
          <w:rFonts w:ascii="Times New Roman" w:hAnsi="Times New Roman" w:eastAsia="仿宋_GB2312" w:cs="Times New Roman"/>
          <w:color w:val="000000"/>
          <w:sz w:val="32"/>
          <w:szCs w:val="32"/>
        </w:rPr>
        <w:t>通过视频汇聚共享节点建设，实现视频监控数据共享，打造城市管理的“智慧支撑”。</w:t>
      </w:r>
    </w:p>
    <w:p w14:paraId="1EE1D11F">
      <w:pPr>
        <w:keepNext w:val="0"/>
        <w:keepLines w:val="0"/>
        <w:pageBreakBefore w:val="0"/>
        <w:widowControl w:val="0"/>
        <w:kinsoku/>
        <w:wordWrap/>
        <w:overflowPunct/>
        <w:topLinePunct w:val="0"/>
        <w:autoSpaceDE/>
        <w:autoSpaceDN/>
        <w:bidi w:val="0"/>
        <w:adjustRightInd/>
        <w:spacing w:line="560" w:lineRule="exact"/>
        <w:ind w:firstLine="644" w:firstLineChars="200"/>
        <w:textAlignment w:val="auto"/>
        <w:rPr>
          <w:rFonts w:ascii="Times New Roman" w:hAnsi="Times New Roman" w:eastAsia="楷体_GB2312" w:cs="Times New Roman"/>
          <w:sz w:val="32"/>
          <w:szCs w:val="32"/>
        </w:rPr>
      </w:pPr>
      <w:r>
        <w:rPr>
          <w:rFonts w:ascii="Times New Roman" w:hAnsi="Times New Roman" w:eastAsia="楷体_GB2312" w:cs="Times New Roman"/>
          <w:sz w:val="32"/>
          <w:szCs w:val="32"/>
        </w:rPr>
        <w:t>（二）实施方式</w:t>
      </w:r>
    </w:p>
    <w:p w14:paraId="6CA38886">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60" w:lineRule="exact"/>
        <w:ind w:firstLine="644" w:firstLineChars="200"/>
        <w:jc w:val="left"/>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按照《贵州省政府向社会力量购买服务指导性目录》要求，项目符合目录中的“基本公共安全服务类”的社会治安辅助服务、交通安全辅助服务、校园安全辅助服务等。结合新区实际情况，建议以采购服务的方式组织项目实施，服务期满后资产归属项目实施单位。</w:t>
      </w:r>
    </w:p>
    <w:p w14:paraId="567DBB59">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60" w:lineRule="exact"/>
        <w:ind w:firstLine="644" w:firstLineChars="200"/>
        <w:jc w:val="left"/>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1.采购主体：建议由贵安新区大数据和科技创新局作为采购主体，做好服务采购工作。</w:t>
      </w:r>
    </w:p>
    <w:p w14:paraId="5B56F5FF">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60" w:lineRule="exact"/>
        <w:ind w:firstLine="644" w:firstLineChars="200"/>
        <w:jc w:val="left"/>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2.实施主体：建议由贵安新区公安局作为实施主体，做好技术方案把关及项目服务质量的监督管理。</w:t>
      </w:r>
    </w:p>
    <w:p w14:paraId="7B7EAD0F">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60" w:lineRule="exact"/>
        <w:ind w:firstLine="644" w:firstLineChars="200"/>
        <w:jc w:val="left"/>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3.采购路径：按照相关法律法规以及《贵阳市贵安新区市级信息化项目统筹管理管理办法》要求，第一阶段先采购《服务方案》编制服务，并对《服务方案》进行评审认定；第二阶段以《服务方案》明确的费用、采购内容等，进行公开招标采购项目服务，服务期3年。</w:t>
      </w:r>
    </w:p>
    <w:p w14:paraId="2F2339B0">
      <w:pPr>
        <w:keepNext w:val="0"/>
        <w:keepLines w:val="0"/>
        <w:pageBreakBefore w:val="0"/>
        <w:widowControl w:val="0"/>
        <w:kinsoku/>
        <w:wordWrap/>
        <w:overflowPunct/>
        <w:topLinePunct w:val="0"/>
        <w:autoSpaceDE/>
        <w:autoSpaceDN/>
        <w:bidi w:val="0"/>
        <w:adjustRightInd/>
        <w:snapToGrid/>
        <w:spacing w:line="560" w:lineRule="exact"/>
        <w:ind w:firstLine="644" w:firstLineChars="200"/>
        <w:textAlignment w:val="auto"/>
        <w:rPr>
          <w:rFonts w:ascii="Times New Roman" w:hAnsi="Times New Roman" w:eastAsia="楷体_GB2312" w:cs="Times New Roman"/>
          <w:sz w:val="32"/>
          <w:szCs w:val="32"/>
        </w:rPr>
      </w:pPr>
      <w:r>
        <w:rPr>
          <w:rFonts w:ascii="Times New Roman" w:hAnsi="Times New Roman" w:eastAsia="楷体" w:cs="Times New Roman"/>
          <w:sz w:val="32"/>
          <w:szCs w:val="32"/>
        </w:rPr>
        <w:t>（三）</w:t>
      </w:r>
      <w:r>
        <w:rPr>
          <w:rFonts w:ascii="Times New Roman" w:hAnsi="Times New Roman" w:eastAsia="楷体_GB2312" w:cs="Times New Roman"/>
          <w:sz w:val="32"/>
          <w:szCs w:val="32"/>
        </w:rPr>
        <w:t>进度安排及阶段目标</w:t>
      </w:r>
    </w:p>
    <w:p w14:paraId="053574FF">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60" w:lineRule="exact"/>
        <w:ind w:firstLine="644" w:firstLineChars="200"/>
        <w:jc w:val="left"/>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1.服务方案编制服务采购阶段(2024年9月)</w:t>
      </w:r>
    </w:p>
    <w:p w14:paraId="6E74866F">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60" w:lineRule="exact"/>
        <w:ind w:firstLine="644" w:firstLineChars="200"/>
        <w:jc w:val="left"/>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采购第三方机构启动《贵安新区公共安全和社会事务视频监控项目实施方案（服务）》编制。</w:t>
      </w:r>
    </w:p>
    <w:p w14:paraId="04ED8C09">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60" w:lineRule="exact"/>
        <w:ind w:firstLine="644" w:firstLineChars="200"/>
        <w:jc w:val="left"/>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2.服务方案编制阶段（2024年10月—12月）</w:t>
      </w:r>
    </w:p>
    <w:p w14:paraId="26B0B726">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60" w:lineRule="exact"/>
        <w:ind w:firstLine="644" w:firstLineChars="200"/>
        <w:jc w:val="left"/>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按照《贵阳市贵安新区市级信息化项目统筹管理办法》要求，完成《贵安新区公共安全和社会事务视频监控项目实施方案（服务）》编制。</w:t>
      </w:r>
    </w:p>
    <w:p w14:paraId="366C221F">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60" w:lineRule="exact"/>
        <w:ind w:firstLine="644" w:firstLineChars="200"/>
        <w:jc w:val="left"/>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3.服务方案评审阶段（2024年12月）</w:t>
      </w:r>
    </w:p>
    <w:p w14:paraId="205CDE55">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60" w:lineRule="exact"/>
        <w:ind w:firstLine="644" w:firstLineChars="200"/>
        <w:jc w:val="left"/>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组织相关专业专家对《贵安新区公共安全和社会事务视频监控项目实施方案（服务）》进行评审。</w:t>
      </w:r>
    </w:p>
    <w:p w14:paraId="4B0A1597">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60" w:lineRule="exact"/>
        <w:ind w:firstLine="644" w:firstLineChars="200"/>
        <w:jc w:val="left"/>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4.项目财评阶段（2024年12月）</w:t>
      </w:r>
    </w:p>
    <w:p w14:paraId="4F791683">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60" w:lineRule="exact"/>
        <w:ind w:firstLine="644" w:firstLineChars="200"/>
        <w:jc w:val="left"/>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贵安新区财政局组织第三方机构完成项目招标控制价评审，并出具评审报告。</w:t>
      </w:r>
    </w:p>
    <w:p w14:paraId="00BD3F07">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60" w:lineRule="exact"/>
        <w:ind w:firstLine="644" w:firstLineChars="200"/>
        <w:jc w:val="left"/>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5.项目采购阶段（2025年1—2月）</w:t>
      </w:r>
    </w:p>
    <w:p w14:paraId="2204C8FA">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60" w:lineRule="exact"/>
        <w:ind w:firstLine="644" w:firstLineChars="200"/>
        <w:jc w:val="left"/>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以《贵安新区公共安全和社会事务视频监控项目实施方案（服务）》明确的采购内容及贵安新区财政局出具的招标控制价报告等，进行公开招标采购项目服务。</w:t>
      </w:r>
    </w:p>
    <w:p w14:paraId="3BA7511B">
      <w:pPr>
        <w:keepNext w:val="0"/>
        <w:keepLines w:val="0"/>
        <w:pageBreakBefore w:val="0"/>
        <w:widowControl w:val="0"/>
        <w:kinsoku/>
        <w:wordWrap/>
        <w:overflowPunct/>
        <w:topLinePunct w:val="0"/>
        <w:autoSpaceDE/>
        <w:autoSpaceDN/>
        <w:bidi w:val="0"/>
        <w:adjustRightInd/>
        <w:spacing w:line="560" w:lineRule="exact"/>
        <w:ind w:firstLine="644"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五、实施周期</w:t>
      </w:r>
    </w:p>
    <w:p w14:paraId="0D44A370">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60" w:lineRule="exact"/>
        <w:ind w:firstLine="644" w:firstLineChars="200"/>
        <w:jc w:val="left"/>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2025年至2027年。</w:t>
      </w:r>
    </w:p>
    <w:p w14:paraId="0BFA2819">
      <w:pPr>
        <w:keepNext w:val="0"/>
        <w:keepLines w:val="0"/>
        <w:pageBreakBefore w:val="0"/>
        <w:widowControl w:val="0"/>
        <w:kinsoku/>
        <w:wordWrap/>
        <w:overflowPunct/>
        <w:topLinePunct w:val="0"/>
        <w:autoSpaceDE/>
        <w:autoSpaceDN/>
        <w:bidi w:val="0"/>
        <w:adjustRightInd/>
        <w:spacing w:line="560" w:lineRule="exact"/>
        <w:ind w:firstLine="644"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六、</w:t>
      </w:r>
      <w:r>
        <w:rPr>
          <w:rFonts w:hint="eastAsia" w:ascii="Times New Roman" w:hAnsi="Times New Roman" w:eastAsia="黑体" w:cs="Times New Roman"/>
          <w:sz w:val="32"/>
          <w:szCs w:val="32"/>
          <w:lang w:val="en-US" w:eastAsia="zh-CN"/>
        </w:rPr>
        <w:t>三年支出计划和</w:t>
      </w:r>
      <w:r>
        <w:rPr>
          <w:rFonts w:ascii="Times New Roman" w:hAnsi="Times New Roman" w:eastAsia="黑体" w:cs="Times New Roman"/>
          <w:sz w:val="32"/>
          <w:szCs w:val="32"/>
        </w:rPr>
        <w:t>年度预算计划</w:t>
      </w:r>
    </w:p>
    <w:p w14:paraId="5C5B31A1">
      <w:pPr>
        <w:keepNext w:val="0"/>
        <w:keepLines w:val="0"/>
        <w:pageBreakBefore w:val="0"/>
        <w:widowControl w:val="0"/>
        <w:kinsoku/>
        <w:wordWrap/>
        <w:overflowPunct/>
        <w:topLinePunct w:val="0"/>
        <w:autoSpaceDE/>
        <w:autoSpaceDN/>
        <w:bidi w:val="0"/>
        <w:adjustRightInd/>
        <w:snapToGrid/>
        <w:spacing w:line="560" w:lineRule="exact"/>
        <w:ind w:firstLine="644" w:firstLineChars="200"/>
        <w:textAlignment w:val="auto"/>
        <w:rPr>
          <w:rFonts w:hint="eastAsia" w:ascii="Times New Roman" w:hAnsi="Times New Roman" w:eastAsia="楷体_GB2312" w:cs="Times New Roman"/>
          <w:sz w:val="32"/>
          <w:szCs w:val="32"/>
          <w:lang w:val="en-US" w:eastAsia="zh-CN"/>
        </w:rPr>
      </w:pPr>
      <w:r>
        <w:rPr>
          <w:rFonts w:hint="eastAsia" w:ascii="Times New Roman" w:hAnsi="Times New Roman" w:eastAsia="楷体_GB2312" w:cs="Times New Roman"/>
          <w:sz w:val="32"/>
          <w:szCs w:val="32"/>
          <w:lang w:eastAsia="zh-CN"/>
        </w:rPr>
        <w:t>（</w:t>
      </w:r>
      <w:r>
        <w:rPr>
          <w:rFonts w:hint="eastAsia" w:ascii="Times New Roman" w:hAnsi="Times New Roman" w:eastAsia="楷体_GB2312" w:cs="Times New Roman"/>
          <w:sz w:val="32"/>
          <w:szCs w:val="32"/>
          <w:lang w:val="en-US" w:eastAsia="zh-CN"/>
        </w:rPr>
        <w:t>一</w:t>
      </w:r>
      <w:r>
        <w:rPr>
          <w:rFonts w:hint="eastAsia" w:ascii="Times New Roman" w:hAnsi="Times New Roman" w:eastAsia="楷体_GB2312" w:cs="Times New Roman"/>
          <w:sz w:val="32"/>
          <w:szCs w:val="32"/>
          <w:lang w:eastAsia="zh-CN"/>
        </w:rPr>
        <w:t>）</w:t>
      </w:r>
      <w:r>
        <w:rPr>
          <w:rFonts w:hint="eastAsia" w:ascii="Times New Roman" w:hAnsi="Times New Roman" w:eastAsia="楷体_GB2312" w:cs="Times New Roman"/>
          <w:sz w:val="32"/>
          <w:szCs w:val="32"/>
          <w:lang w:val="en-US" w:eastAsia="zh-CN"/>
        </w:rPr>
        <w:t>三年支出计划</w:t>
      </w:r>
    </w:p>
    <w:p w14:paraId="47ADFD23">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60" w:lineRule="exact"/>
        <w:ind w:firstLine="644" w:firstLineChars="200"/>
        <w:jc w:val="left"/>
        <w:textAlignment w:val="auto"/>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项目采购服务费约为5500万元，服务期为3年，2025年、2026年、2027年支出预算分别为：1500万元、2000万元、2000万元。</w:t>
      </w:r>
    </w:p>
    <w:p w14:paraId="14DD3A78">
      <w:pPr>
        <w:keepNext w:val="0"/>
        <w:keepLines w:val="0"/>
        <w:pageBreakBefore w:val="0"/>
        <w:widowControl w:val="0"/>
        <w:kinsoku/>
        <w:wordWrap/>
        <w:overflowPunct/>
        <w:topLinePunct w:val="0"/>
        <w:autoSpaceDE/>
        <w:autoSpaceDN/>
        <w:bidi w:val="0"/>
        <w:adjustRightInd/>
        <w:snapToGrid/>
        <w:spacing w:line="560" w:lineRule="exact"/>
        <w:ind w:firstLine="644" w:firstLineChars="200"/>
        <w:textAlignment w:val="auto"/>
        <w:rPr>
          <w:rFonts w:hint="default" w:ascii="Times New Roman" w:hAnsi="Times New Roman" w:eastAsia="楷体_GB2312" w:cs="Times New Roman"/>
          <w:sz w:val="32"/>
          <w:szCs w:val="32"/>
          <w:lang w:val="en-US" w:eastAsia="zh-CN"/>
        </w:rPr>
      </w:pPr>
      <w:r>
        <w:rPr>
          <w:rFonts w:hint="eastAsia" w:ascii="Times New Roman" w:hAnsi="Times New Roman" w:eastAsia="楷体_GB2312" w:cs="Times New Roman"/>
          <w:sz w:val="32"/>
          <w:szCs w:val="32"/>
          <w:lang w:eastAsia="zh-CN"/>
        </w:rPr>
        <w:t>（</w:t>
      </w:r>
      <w:r>
        <w:rPr>
          <w:rFonts w:hint="eastAsia" w:ascii="Times New Roman" w:hAnsi="Times New Roman" w:eastAsia="楷体_GB2312" w:cs="Times New Roman"/>
          <w:sz w:val="32"/>
          <w:szCs w:val="32"/>
          <w:lang w:val="en-US" w:eastAsia="zh-CN"/>
        </w:rPr>
        <w:t>二</w:t>
      </w:r>
      <w:r>
        <w:rPr>
          <w:rFonts w:hint="eastAsia" w:ascii="Times New Roman" w:hAnsi="Times New Roman" w:eastAsia="楷体_GB2312" w:cs="Times New Roman"/>
          <w:sz w:val="32"/>
          <w:szCs w:val="32"/>
          <w:lang w:eastAsia="zh-CN"/>
        </w:rPr>
        <w:t>）</w:t>
      </w:r>
      <w:r>
        <w:rPr>
          <w:rFonts w:hint="eastAsia" w:ascii="Times New Roman" w:hAnsi="Times New Roman" w:eastAsia="楷体_GB2312" w:cs="Times New Roman"/>
          <w:sz w:val="32"/>
          <w:szCs w:val="32"/>
          <w:lang w:val="en-US" w:eastAsia="zh-CN"/>
        </w:rPr>
        <w:t>年度预算安排</w:t>
      </w:r>
    </w:p>
    <w:p w14:paraId="428C6495">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60" w:lineRule="exact"/>
        <w:ind w:firstLine="644" w:firstLineChars="200"/>
        <w:jc w:val="left"/>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2025年预算：一般公共预算1500万元。</w:t>
      </w:r>
    </w:p>
    <w:p w14:paraId="59715FDD">
      <w:pPr>
        <w:keepNext w:val="0"/>
        <w:keepLines w:val="0"/>
        <w:pageBreakBefore w:val="0"/>
        <w:widowControl w:val="0"/>
        <w:numPr>
          <w:ilvl w:val="0"/>
          <w:numId w:val="0"/>
        </w:numPr>
        <w:kinsoku/>
        <w:wordWrap/>
        <w:overflowPunct/>
        <w:topLinePunct w:val="0"/>
        <w:autoSpaceDE/>
        <w:autoSpaceDN/>
        <w:bidi w:val="0"/>
        <w:adjustRightInd/>
        <w:spacing w:line="560" w:lineRule="exact"/>
        <w:ind w:firstLine="644" w:firstLineChars="200"/>
        <w:textAlignment w:val="auto"/>
        <w:rPr>
          <w:rFonts w:ascii="Times New Roman" w:hAnsi="Times New Roman" w:eastAsia="黑体" w:cs="Times New Roman"/>
          <w:sz w:val="32"/>
          <w:szCs w:val="32"/>
        </w:rPr>
      </w:pPr>
      <w:r>
        <w:rPr>
          <w:rFonts w:hint="eastAsia" w:ascii="Times New Roman" w:hAnsi="Times New Roman" w:eastAsia="黑体" w:cs="Times New Roman"/>
          <w:sz w:val="32"/>
          <w:szCs w:val="32"/>
          <w:lang w:eastAsia="zh-CN"/>
        </w:rPr>
        <w:t>七、</w:t>
      </w:r>
      <w:r>
        <w:rPr>
          <w:rFonts w:ascii="Times New Roman" w:hAnsi="Times New Roman" w:eastAsia="黑体" w:cs="Times New Roman"/>
          <w:sz w:val="32"/>
          <w:szCs w:val="32"/>
        </w:rPr>
        <w:t>绩效目标和指标</w:t>
      </w:r>
    </w:p>
    <w:p w14:paraId="3A04892B">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60" w:lineRule="exact"/>
        <w:ind w:firstLine="644" w:firstLineChars="200"/>
        <w:jc w:val="left"/>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详见下表。</w:t>
      </w:r>
    </w:p>
    <w:p w14:paraId="783F5DBE">
      <w:pPr>
        <w:jc w:val="center"/>
        <w:rPr>
          <w:rFonts w:hint="eastAsia" w:ascii="黑体" w:hAnsi="黑体" w:eastAsia="黑体" w:cs="黑体"/>
          <w:sz w:val="36"/>
          <w:szCs w:val="36"/>
        </w:rPr>
      </w:pPr>
    </w:p>
    <w:p w14:paraId="1EE14E1F">
      <w:pPr>
        <w:jc w:val="center"/>
        <w:rPr>
          <w:rFonts w:hint="eastAsia" w:ascii="黑体" w:hAnsi="黑体" w:eastAsia="黑体" w:cs="黑体"/>
          <w:sz w:val="36"/>
          <w:szCs w:val="36"/>
        </w:rPr>
      </w:pPr>
    </w:p>
    <w:p w14:paraId="3E819673">
      <w:pPr>
        <w:rPr>
          <w:rFonts w:hint="eastAsia"/>
        </w:rPr>
      </w:pPr>
      <w:r>
        <w:rPr>
          <w:rFonts w:hint="eastAsia"/>
        </w:rPr>
        <w:br w:type="page"/>
      </w:r>
    </w:p>
    <w:tbl>
      <w:tblPr>
        <w:tblStyle w:val="10"/>
        <w:tblW w:w="150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96"/>
        <w:gridCol w:w="1460"/>
        <w:gridCol w:w="2141"/>
        <w:gridCol w:w="997"/>
        <w:gridCol w:w="176"/>
        <w:gridCol w:w="850"/>
        <w:gridCol w:w="170"/>
        <w:gridCol w:w="1130"/>
        <w:gridCol w:w="1166"/>
        <w:gridCol w:w="1093"/>
        <w:gridCol w:w="3837"/>
      </w:tblGrid>
      <w:tr w14:paraId="366A8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0" w:hRule="atLeast"/>
          <w:tblHeader/>
          <w:jc w:val="center"/>
        </w:trPr>
        <w:tc>
          <w:tcPr>
            <w:tcW w:w="15016" w:type="dxa"/>
            <w:gridSpan w:val="11"/>
            <w:tcBorders>
              <w:top w:val="nil"/>
              <w:left w:val="nil"/>
              <w:bottom w:val="nil"/>
              <w:right w:val="nil"/>
            </w:tcBorders>
            <w:shd w:val="clear" w:color="auto" w:fill="auto"/>
            <w:vAlign w:val="center"/>
          </w:tcPr>
          <w:p w14:paraId="5B3CADA6">
            <w:pPr>
              <w:keepNext w:val="0"/>
              <w:keepLines w:val="0"/>
              <w:widowControl/>
              <w:suppressLineNumbers w:val="0"/>
              <w:jc w:val="center"/>
              <w:textAlignment w:val="center"/>
              <w:rPr>
                <w:rFonts w:hint="eastAsia" w:ascii="宋体" w:hAnsi="宋体" w:eastAsia="宋体" w:cs="宋体"/>
                <w:b/>
                <w:bCs/>
                <w:i w:val="0"/>
                <w:iCs w:val="0"/>
                <w:color w:val="000000"/>
                <w:sz w:val="43"/>
                <w:szCs w:val="43"/>
                <w:u w:val="none"/>
              </w:rPr>
            </w:pPr>
            <w:r>
              <w:rPr>
                <w:rFonts w:hint="eastAsia" w:ascii="宋体" w:hAnsi="宋体" w:eastAsia="宋体" w:cs="宋体"/>
                <w:b/>
                <w:bCs/>
                <w:i w:val="0"/>
                <w:iCs w:val="0"/>
                <w:color w:val="000000"/>
                <w:kern w:val="0"/>
                <w:sz w:val="43"/>
                <w:szCs w:val="43"/>
                <w:u w:val="none"/>
                <w:lang w:val="en-US" w:eastAsia="zh-CN" w:bidi="ar"/>
              </w:rPr>
              <w:t>项目支出绩效目标申报表</w:t>
            </w:r>
          </w:p>
        </w:tc>
      </w:tr>
      <w:tr w14:paraId="73002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blHeader/>
          <w:jc w:val="center"/>
        </w:trPr>
        <w:tc>
          <w:tcPr>
            <w:tcW w:w="15016" w:type="dxa"/>
            <w:gridSpan w:val="11"/>
            <w:tcBorders>
              <w:top w:val="nil"/>
              <w:left w:val="nil"/>
              <w:bottom w:val="single" w:color="auto" w:sz="4" w:space="0"/>
              <w:right w:val="nil"/>
            </w:tcBorders>
            <w:shd w:val="clear" w:color="auto" w:fill="auto"/>
            <w:vAlign w:val="center"/>
          </w:tcPr>
          <w:p w14:paraId="456052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（2025年度）</w:t>
            </w:r>
          </w:p>
        </w:tc>
      </w:tr>
      <w:tr w14:paraId="23832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blHeader/>
          <w:jc w:val="center"/>
        </w:trPr>
        <w:tc>
          <w:tcPr>
            <w:tcW w:w="1996" w:type="dxa"/>
            <w:tcBorders>
              <w:top w:val="single" w:color="auto" w:sz="4" w:space="0"/>
              <w:left w:val="single" w:color="auto" w:sz="4" w:space="0"/>
              <w:bottom w:val="single" w:color="auto" w:sz="4" w:space="0"/>
              <w:right w:val="single" w:color="auto" w:sz="4" w:space="0"/>
            </w:tcBorders>
            <w:shd w:val="clear" w:color="auto" w:fill="FFFFFF"/>
            <w:vAlign w:val="center"/>
          </w:tcPr>
          <w:p w14:paraId="49F90EC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项目名称</w:t>
            </w:r>
          </w:p>
        </w:tc>
        <w:tc>
          <w:tcPr>
            <w:tcW w:w="5624"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5F12A8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贵安新区公共安全和社会事务视频监控项目</w:t>
            </w:r>
          </w:p>
        </w:tc>
        <w:tc>
          <w:tcPr>
            <w:tcW w:w="24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7991D235">
            <w:pPr>
              <w:jc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项目编码</w:t>
            </w:r>
          </w:p>
        </w:tc>
        <w:tc>
          <w:tcPr>
            <w:tcW w:w="493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5F0AE993">
            <w:pPr>
              <w:jc w:val="center"/>
              <w:rPr>
                <w:rFonts w:hint="eastAsia" w:ascii="宋体" w:hAnsi="宋体" w:eastAsia="宋体" w:cs="宋体"/>
                <w:i w:val="0"/>
                <w:iCs w:val="0"/>
                <w:color w:val="000000"/>
                <w:sz w:val="20"/>
                <w:szCs w:val="20"/>
                <w:u w:val="none"/>
              </w:rPr>
            </w:pPr>
          </w:p>
        </w:tc>
      </w:tr>
      <w:tr w14:paraId="73B8A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blHeader/>
          <w:jc w:val="center"/>
        </w:trPr>
        <w:tc>
          <w:tcPr>
            <w:tcW w:w="1996" w:type="dxa"/>
            <w:tcBorders>
              <w:top w:val="single" w:color="auto" w:sz="4" w:space="0"/>
              <w:left w:val="single" w:color="auto" w:sz="4" w:space="0"/>
              <w:bottom w:val="single" w:color="auto" w:sz="4" w:space="0"/>
              <w:right w:val="single" w:color="auto" w:sz="4" w:space="0"/>
            </w:tcBorders>
            <w:shd w:val="clear" w:color="auto" w:fill="FFFFFF"/>
            <w:vAlign w:val="center"/>
          </w:tcPr>
          <w:p w14:paraId="3E01025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主管部门及代码</w:t>
            </w:r>
          </w:p>
        </w:tc>
        <w:tc>
          <w:tcPr>
            <w:tcW w:w="5624"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7FF988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867001/</w:t>
            </w:r>
            <w:r>
              <w:rPr>
                <w:rFonts w:hint="eastAsia" w:ascii="宋体" w:hAnsi="宋体" w:eastAsia="宋体" w:cs="宋体"/>
                <w:i w:val="0"/>
                <w:iCs w:val="0"/>
                <w:color w:val="000000"/>
                <w:kern w:val="0"/>
                <w:sz w:val="20"/>
                <w:szCs w:val="20"/>
                <w:u w:val="none"/>
                <w:lang w:val="en-US" w:eastAsia="zh-CN" w:bidi="ar"/>
              </w:rPr>
              <w:t>贵安新区大数据和科技创新局</w:t>
            </w:r>
          </w:p>
        </w:tc>
        <w:tc>
          <w:tcPr>
            <w:tcW w:w="24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5F8D5DAE">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实施单位</w:t>
            </w:r>
          </w:p>
        </w:tc>
        <w:tc>
          <w:tcPr>
            <w:tcW w:w="493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90CB9A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贵安新区大数据和科技创新局</w:t>
            </w:r>
          </w:p>
        </w:tc>
      </w:tr>
      <w:tr w14:paraId="1DAD3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jc w:val="center"/>
        </w:trPr>
        <w:tc>
          <w:tcPr>
            <w:tcW w:w="1996"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56D8E2B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资金来源</w:t>
            </w:r>
          </w:p>
        </w:tc>
        <w:tc>
          <w:tcPr>
            <w:tcW w:w="13020" w:type="dxa"/>
            <w:gridSpan w:val="10"/>
            <w:tcBorders>
              <w:top w:val="single" w:color="auto" w:sz="4" w:space="0"/>
              <w:left w:val="single" w:color="auto" w:sz="4" w:space="0"/>
              <w:bottom w:val="single" w:color="auto" w:sz="4" w:space="0"/>
              <w:right w:val="single" w:color="auto" w:sz="4" w:space="0"/>
            </w:tcBorders>
            <w:shd w:val="clear" w:color="auto" w:fill="FFFFFF"/>
            <w:vAlign w:val="center"/>
          </w:tcPr>
          <w:p w14:paraId="2CFCEB8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年度资金情况</w:t>
            </w:r>
          </w:p>
        </w:tc>
      </w:tr>
      <w:tr w14:paraId="1CF62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jc w:val="center"/>
        </w:trPr>
        <w:tc>
          <w:tcPr>
            <w:tcW w:w="1996"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4A247CD9">
            <w:pPr>
              <w:jc w:val="center"/>
              <w:rPr>
                <w:rFonts w:hint="eastAsia" w:ascii="宋体" w:hAnsi="宋体" w:eastAsia="宋体" w:cs="宋体"/>
                <w:b/>
                <w:bCs/>
                <w:i w:val="0"/>
                <w:iCs w:val="0"/>
                <w:color w:val="000000"/>
                <w:sz w:val="20"/>
                <w:szCs w:val="20"/>
                <w:u w:val="none"/>
              </w:rPr>
            </w:pPr>
          </w:p>
        </w:tc>
        <w:tc>
          <w:tcPr>
            <w:tcW w:w="4598"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7B5063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资金总额(元)：</w:t>
            </w:r>
          </w:p>
        </w:tc>
        <w:tc>
          <w:tcPr>
            <w:tcW w:w="8422" w:type="dxa"/>
            <w:gridSpan w:val="7"/>
            <w:tcBorders>
              <w:top w:val="single" w:color="auto" w:sz="4" w:space="0"/>
              <w:left w:val="single" w:color="auto" w:sz="4" w:space="0"/>
              <w:bottom w:val="single" w:color="auto" w:sz="4" w:space="0"/>
              <w:right w:val="single" w:color="auto" w:sz="4" w:space="0"/>
            </w:tcBorders>
            <w:shd w:val="clear" w:color="auto" w:fill="FFFFFF"/>
            <w:vAlign w:val="center"/>
          </w:tcPr>
          <w:p w14:paraId="5E49A586">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15,000,000.00</w:t>
            </w:r>
          </w:p>
        </w:tc>
      </w:tr>
      <w:tr w14:paraId="34580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jc w:val="center"/>
        </w:trPr>
        <w:tc>
          <w:tcPr>
            <w:tcW w:w="1996"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3FC0C5FE">
            <w:pPr>
              <w:jc w:val="center"/>
              <w:rPr>
                <w:rFonts w:hint="eastAsia" w:ascii="宋体" w:hAnsi="宋体" w:eastAsia="宋体" w:cs="宋体"/>
                <w:b/>
                <w:bCs/>
                <w:i w:val="0"/>
                <w:iCs w:val="0"/>
                <w:color w:val="000000"/>
                <w:sz w:val="20"/>
                <w:szCs w:val="20"/>
                <w:u w:val="none"/>
              </w:rPr>
            </w:pPr>
          </w:p>
        </w:tc>
        <w:tc>
          <w:tcPr>
            <w:tcW w:w="4598"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79E1B0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财政拨款</w:t>
            </w:r>
          </w:p>
        </w:tc>
        <w:tc>
          <w:tcPr>
            <w:tcW w:w="8422" w:type="dxa"/>
            <w:gridSpan w:val="7"/>
            <w:tcBorders>
              <w:top w:val="single" w:color="auto" w:sz="4" w:space="0"/>
              <w:left w:val="single" w:color="auto" w:sz="4" w:space="0"/>
              <w:bottom w:val="single" w:color="auto" w:sz="4" w:space="0"/>
              <w:right w:val="single" w:color="auto" w:sz="4" w:space="0"/>
            </w:tcBorders>
            <w:shd w:val="clear" w:color="auto" w:fill="FFFFFF"/>
            <w:vAlign w:val="center"/>
          </w:tcPr>
          <w:p w14:paraId="45DE6F66">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15,000,000.00</w:t>
            </w:r>
          </w:p>
        </w:tc>
      </w:tr>
      <w:tr w14:paraId="7BCC8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1996"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B4A98A8">
            <w:pPr>
              <w:jc w:val="center"/>
              <w:rPr>
                <w:rFonts w:hint="eastAsia" w:ascii="宋体" w:hAnsi="宋体" w:eastAsia="宋体" w:cs="宋体"/>
                <w:b/>
                <w:bCs/>
                <w:i w:val="0"/>
                <w:iCs w:val="0"/>
                <w:color w:val="000000"/>
                <w:sz w:val="20"/>
                <w:szCs w:val="20"/>
                <w:u w:val="none"/>
              </w:rPr>
            </w:pPr>
          </w:p>
        </w:tc>
        <w:tc>
          <w:tcPr>
            <w:tcW w:w="4598"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1E8E7FE9">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其中：上级补助</w:t>
            </w:r>
          </w:p>
        </w:tc>
        <w:tc>
          <w:tcPr>
            <w:tcW w:w="8422" w:type="dxa"/>
            <w:gridSpan w:val="7"/>
            <w:tcBorders>
              <w:top w:val="single" w:color="auto" w:sz="4" w:space="0"/>
              <w:left w:val="single" w:color="auto" w:sz="4" w:space="0"/>
              <w:bottom w:val="single" w:color="auto" w:sz="4" w:space="0"/>
              <w:right w:val="single" w:color="auto" w:sz="4" w:space="0"/>
            </w:tcBorders>
            <w:shd w:val="clear" w:color="auto" w:fill="FFFFFF"/>
            <w:vAlign w:val="center"/>
          </w:tcPr>
          <w:p w14:paraId="05170EA1">
            <w:pPr>
              <w:jc w:val="center"/>
              <w:rPr>
                <w:rFonts w:hint="eastAsia" w:ascii="宋体" w:hAnsi="宋体" w:eastAsia="宋体" w:cs="宋体"/>
                <w:i w:val="0"/>
                <w:iCs w:val="0"/>
                <w:color w:val="000000"/>
                <w:kern w:val="2"/>
                <w:sz w:val="20"/>
                <w:szCs w:val="20"/>
                <w:u w:val="none"/>
                <w:lang w:val="en-US" w:eastAsia="zh-CN" w:bidi="ar-SA"/>
              </w:rPr>
            </w:pPr>
          </w:p>
        </w:tc>
      </w:tr>
      <w:tr w14:paraId="48998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1996"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39574B27">
            <w:pPr>
              <w:jc w:val="center"/>
              <w:rPr>
                <w:rFonts w:hint="eastAsia" w:ascii="宋体" w:hAnsi="宋体" w:eastAsia="宋体" w:cs="宋体"/>
                <w:b/>
                <w:bCs/>
                <w:i w:val="0"/>
                <w:iCs w:val="0"/>
                <w:color w:val="000000"/>
                <w:sz w:val="20"/>
                <w:szCs w:val="20"/>
                <w:u w:val="none"/>
              </w:rPr>
            </w:pPr>
          </w:p>
        </w:tc>
        <w:tc>
          <w:tcPr>
            <w:tcW w:w="4598"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546742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本级安排</w:t>
            </w:r>
          </w:p>
        </w:tc>
        <w:tc>
          <w:tcPr>
            <w:tcW w:w="8422" w:type="dxa"/>
            <w:gridSpan w:val="7"/>
            <w:tcBorders>
              <w:top w:val="single" w:color="auto" w:sz="4" w:space="0"/>
              <w:left w:val="single" w:color="auto" w:sz="4" w:space="0"/>
              <w:bottom w:val="single" w:color="auto" w:sz="4" w:space="0"/>
              <w:right w:val="single" w:color="auto" w:sz="4" w:space="0"/>
            </w:tcBorders>
            <w:shd w:val="clear" w:color="auto" w:fill="FFFFFF"/>
            <w:vAlign w:val="center"/>
          </w:tcPr>
          <w:p w14:paraId="1AF6DD90">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15,000,000.00</w:t>
            </w:r>
          </w:p>
        </w:tc>
      </w:tr>
      <w:tr w14:paraId="73734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jc w:val="center"/>
        </w:trPr>
        <w:tc>
          <w:tcPr>
            <w:tcW w:w="1996"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74088B7">
            <w:pPr>
              <w:jc w:val="center"/>
              <w:rPr>
                <w:rFonts w:hint="eastAsia" w:ascii="宋体" w:hAnsi="宋体" w:eastAsia="宋体" w:cs="宋体"/>
                <w:b/>
                <w:bCs/>
                <w:i w:val="0"/>
                <w:iCs w:val="0"/>
                <w:color w:val="000000"/>
                <w:sz w:val="20"/>
                <w:szCs w:val="20"/>
                <w:u w:val="none"/>
              </w:rPr>
            </w:pPr>
          </w:p>
        </w:tc>
        <w:tc>
          <w:tcPr>
            <w:tcW w:w="4598"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2A713BE8">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其他资金</w:t>
            </w:r>
          </w:p>
        </w:tc>
        <w:tc>
          <w:tcPr>
            <w:tcW w:w="8422" w:type="dxa"/>
            <w:gridSpan w:val="7"/>
            <w:tcBorders>
              <w:top w:val="single" w:color="auto" w:sz="4" w:space="0"/>
              <w:left w:val="single" w:color="auto" w:sz="4" w:space="0"/>
              <w:bottom w:val="single" w:color="auto" w:sz="4" w:space="0"/>
              <w:right w:val="single" w:color="auto" w:sz="4" w:space="0"/>
            </w:tcBorders>
            <w:shd w:val="clear" w:color="auto" w:fill="FFFFFF"/>
            <w:vAlign w:val="center"/>
          </w:tcPr>
          <w:p w14:paraId="71369323">
            <w:pPr>
              <w:jc w:val="center"/>
              <w:rPr>
                <w:rFonts w:hint="eastAsia" w:ascii="宋体" w:hAnsi="宋体" w:eastAsia="宋体" w:cs="宋体"/>
                <w:i w:val="0"/>
                <w:iCs w:val="0"/>
                <w:color w:val="000000"/>
                <w:sz w:val="20"/>
                <w:szCs w:val="20"/>
                <w:u w:val="none"/>
              </w:rPr>
            </w:pPr>
          </w:p>
        </w:tc>
      </w:tr>
      <w:tr w14:paraId="40CF7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99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E71C51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绩效目标</w:t>
            </w:r>
          </w:p>
        </w:tc>
        <w:tc>
          <w:tcPr>
            <w:tcW w:w="13020" w:type="dxa"/>
            <w:gridSpan w:val="10"/>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5B145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目标概述：在贵安本地进行汇聚存储，形成贵安新区的视频汇聚节点，统筹视频监控形成区域级互联，形成贵安新区委办局联动分权分域使用能力，具备人像大数据、车辆卡口监管、森林防火预警等能力，能够分级分场景提供给需求行业主管部门调用。</w:t>
            </w:r>
          </w:p>
        </w:tc>
      </w:tr>
      <w:tr w14:paraId="5D0EE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9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2B7EBB">
            <w:pPr>
              <w:jc w:val="center"/>
              <w:rPr>
                <w:rFonts w:hint="eastAsia" w:ascii="宋体" w:hAnsi="宋体" w:eastAsia="宋体" w:cs="宋体"/>
                <w:b/>
                <w:bCs/>
                <w:i w:val="0"/>
                <w:iCs w:val="0"/>
                <w:color w:val="000000"/>
                <w:sz w:val="20"/>
                <w:szCs w:val="20"/>
                <w:u w:val="none"/>
              </w:rPr>
            </w:pPr>
          </w:p>
        </w:tc>
        <w:tc>
          <w:tcPr>
            <w:tcW w:w="13020" w:type="dxa"/>
            <w:gridSpan w:val="10"/>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E70AC9">
            <w:pPr>
              <w:jc w:val="center"/>
              <w:rPr>
                <w:rFonts w:hint="eastAsia" w:ascii="宋体" w:hAnsi="宋体" w:eastAsia="宋体" w:cs="宋体"/>
                <w:i w:val="0"/>
                <w:iCs w:val="0"/>
                <w:color w:val="000000"/>
                <w:sz w:val="20"/>
                <w:szCs w:val="20"/>
                <w:u w:val="none"/>
              </w:rPr>
            </w:pPr>
          </w:p>
        </w:tc>
      </w:tr>
      <w:tr w14:paraId="56041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jc w:val="center"/>
        </w:trPr>
        <w:tc>
          <w:tcPr>
            <w:tcW w:w="199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02CB2E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一级指标</w:t>
            </w:r>
          </w:p>
        </w:tc>
        <w:tc>
          <w:tcPr>
            <w:tcW w:w="14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883D94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二级指标</w:t>
            </w:r>
          </w:p>
        </w:tc>
        <w:tc>
          <w:tcPr>
            <w:tcW w:w="214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51E3731">
            <w:pPr>
              <w:keepNext w:val="0"/>
              <w:keepLines w:val="0"/>
              <w:widowControl/>
              <w:suppressLineNumbers w:val="0"/>
              <w:jc w:val="center"/>
              <w:textAlignment w:val="center"/>
              <w:rPr>
                <w:rFonts w:hint="eastAsia" w:ascii="宋体" w:hAnsi="宋体" w:eastAsia="宋体" w:cs="宋体"/>
                <w:b/>
                <w:bCs/>
                <w:i w:val="0"/>
                <w:iCs w:val="0"/>
                <w:color w:val="FF0000"/>
                <w:sz w:val="20"/>
                <w:szCs w:val="20"/>
                <w:u w:val="none"/>
              </w:rPr>
            </w:pPr>
            <w:r>
              <w:rPr>
                <w:rFonts w:hint="eastAsia" w:ascii="宋体" w:hAnsi="宋体" w:eastAsia="宋体" w:cs="宋体"/>
                <w:b/>
                <w:bCs/>
                <w:i w:val="0"/>
                <w:iCs w:val="0"/>
                <w:color w:val="000000"/>
                <w:kern w:val="0"/>
                <w:sz w:val="20"/>
                <w:szCs w:val="20"/>
                <w:u w:val="none"/>
                <w:lang w:val="en-US" w:eastAsia="zh-CN" w:bidi="ar"/>
              </w:rPr>
              <w:t>三级指标</w:t>
            </w:r>
          </w:p>
        </w:tc>
        <w:tc>
          <w:tcPr>
            <w:tcW w:w="332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1E3425D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指标值</w:t>
            </w:r>
          </w:p>
        </w:tc>
        <w:tc>
          <w:tcPr>
            <w:tcW w:w="2259"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F8355E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备注（指标解释等）</w:t>
            </w:r>
          </w:p>
        </w:tc>
        <w:tc>
          <w:tcPr>
            <w:tcW w:w="383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0D3A81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指标值说明（评分标准等）</w:t>
            </w:r>
          </w:p>
        </w:tc>
      </w:tr>
      <w:tr w14:paraId="73EBF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jc w:val="center"/>
        </w:trPr>
        <w:tc>
          <w:tcPr>
            <w:tcW w:w="19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3388D41">
            <w:pPr>
              <w:jc w:val="center"/>
              <w:rPr>
                <w:rFonts w:hint="eastAsia" w:ascii="宋体" w:hAnsi="宋体" w:eastAsia="宋体" w:cs="宋体"/>
                <w:b/>
                <w:bCs/>
                <w:i w:val="0"/>
                <w:iCs w:val="0"/>
                <w:color w:val="000000"/>
                <w:sz w:val="20"/>
                <w:szCs w:val="20"/>
                <w:u w:val="none"/>
              </w:rPr>
            </w:pPr>
          </w:p>
        </w:tc>
        <w:tc>
          <w:tcPr>
            <w:tcW w:w="14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C6E5F5E">
            <w:pPr>
              <w:jc w:val="center"/>
              <w:rPr>
                <w:rFonts w:hint="eastAsia" w:ascii="宋体" w:hAnsi="宋体" w:eastAsia="宋体" w:cs="宋体"/>
                <w:b/>
                <w:bCs/>
                <w:i w:val="0"/>
                <w:iCs w:val="0"/>
                <w:color w:val="000000"/>
                <w:sz w:val="20"/>
                <w:szCs w:val="20"/>
                <w:u w:val="none"/>
              </w:rPr>
            </w:pPr>
          </w:p>
        </w:tc>
        <w:tc>
          <w:tcPr>
            <w:tcW w:w="214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1ADEF27">
            <w:pPr>
              <w:jc w:val="center"/>
              <w:rPr>
                <w:rFonts w:hint="eastAsia" w:ascii="宋体" w:hAnsi="宋体" w:eastAsia="宋体" w:cs="宋体"/>
                <w:b/>
                <w:bCs/>
                <w:i w:val="0"/>
                <w:iCs w:val="0"/>
                <w:color w:val="FF0000"/>
                <w:sz w:val="20"/>
                <w:szCs w:val="20"/>
                <w:u w:val="none"/>
              </w:rPr>
            </w:pPr>
          </w:p>
        </w:tc>
        <w:tc>
          <w:tcPr>
            <w:tcW w:w="117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600D656">
            <w:pPr>
              <w:keepNext w:val="0"/>
              <w:keepLines w:val="0"/>
              <w:widowControl/>
              <w:suppressLineNumbers w:val="0"/>
              <w:jc w:val="center"/>
              <w:textAlignment w:val="center"/>
              <w:rPr>
                <w:rFonts w:hint="eastAsia" w:ascii="宋体" w:hAnsi="宋体" w:eastAsia="宋体" w:cs="宋体"/>
                <w:b/>
                <w:bCs/>
                <w:i w:val="0"/>
                <w:iCs w:val="0"/>
                <w:color w:val="FF0000"/>
                <w:sz w:val="20"/>
                <w:szCs w:val="20"/>
                <w:u w:val="none"/>
              </w:rPr>
            </w:pPr>
            <w:r>
              <w:rPr>
                <w:rFonts w:hint="eastAsia" w:ascii="宋体" w:hAnsi="宋体" w:eastAsia="宋体" w:cs="宋体"/>
                <w:b/>
                <w:bCs/>
                <w:i w:val="0"/>
                <w:iCs w:val="0"/>
                <w:color w:val="000000"/>
                <w:kern w:val="0"/>
                <w:sz w:val="20"/>
                <w:szCs w:val="20"/>
                <w:u w:val="none"/>
                <w:lang w:val="en-US" w:eastAsia="zh-CN" w:bidi="ar"/>
              </w:rPr>
              <w:t>符号</w:t>
            </w:r>
          </w:p>
        </w:tc>
        <w:tc>
          <w:tcPr>
            <w:tcW w:w="10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3C5971C">
            <w:pPr>
              <w:keepNext w:val="0"/>
              <w:keepLines w:val="0"/>
              <w:widowControl/>
              <w:suppressLineNumbers w:val="0"/>
              <w:jc w:val="center"/>
              <w:textAlignment w:val="center"/>
              <w:rPr>
                <w:rFonts w:hint="eastAsia" w:ascii="宋体" w:hAnsi="宋体" w:eastAsia="宋体" w:cs="宋体"/>
                <w:b/>
                <w:bCs/>
                <w:i w:val="0"/>
                <w:iCs w:val="0"/>
                <w:color w:val="FF0000"/>
                <w:sz w:val="20"/>
                <w:szCs w:val="20"/>
                <w:u w:val="none"/>
              </w:rPr>
            </w:pPr>
            <w:r>
              <w:rPr>
                <w:rFonts w:hint="eastAsia" w:ascii="宋体" w:hAnsi="宋体" w:eastAsia="宋体" w:cs="宋体"/>
                <w:b/>
                <w:bCs/>
                <w:i w:val="0"/>
                <w:iCs w:val="0"/>
                <w:color w:val="000000"/>
                <w:kern w:val="0"/>
                <w:sz w:val="20"/>
                <w:szCs w:val="20"/>
                <w:u w:val="none"/>
                <w:lang w:val="en-US" w:eastAsia="zh-CN" w:bidi="ar"/>
              </w:rPr>
              <w:t>值</w:t>
            </w:r>
          </w:p>
        </w:tc>
        <w:tc>
          <w:tcPr>
            <w:tcW w:w="1130" w:type="dxa"/>
            <w:tcBorders>
              <w:top w:val="single" w:color="auto" w:sz="4" w:space="0"/>
              <w:left w:val="single" w:color="auto" w:sz="4" w:space="0"/>
              <w:bottom w:val="single" w:color="auto" w:sz="4" w:space="0"/>
              <w:right w:val="single" w:color="auto" w:sz="4" w:space="0"/>
            </w:tcBorders>
            <w:shd w:val="clear" w:color="auto" w:fill="auto"/>
            <w:vAlign w:val="center"/>
          </w:tcPr>
          <w:p w14:paraId="196B9D3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计量单位</w:t>
            </w:r>
          </w:p>
        </w:tc>
        <w:tc>
          <w:tcPr>
            <w:tcW w:w="2259"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DCE337E">
            <w:pPr>
              <w:jc w:val="center"/>
              <w:rPr>
                <w:rFonts w:hint="eastAsia" w:ascii="宋体" w:hAnsi="宋体" w:eastAsia="宋体" w:cs="宋体"/>
                <w:b/>
                <w:bCs/>
                <w:i w:val="0"/>
                <w:iCs w:val="0"/>
                <w:color w:val="000000"/>
                <w:sz w:val="20"/>
                <w:szCs w:val="20"/>
                <w:u w:val="none"/>
              </w:rPr>
            </w:pPr>
          </w:p>
        </w:tc>
        <w:tc>
          <w:tcPr>
            <w:tcW w:w="38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D47ADB">
            <w:pPr>
              <w:jc w:val="center"/>
              <w:rPr>
                <w:rFonts w:hint="eastAsia" w:ascii="宋体" w:hAnsi="宋体" w:eastAsia="宋体" w:cs="宋体"/>
                <w:b/>
                <w:bCs/>
                <w:i w:val="0"/>
                <w:iCs w:val="0"/>
                <w:color w:val="000000"/>
                <w:sz w:val="20"/>
                <w:szCs w:val="20"/>
                <w:u w:val="none"/>
              </w:rPr>
            </w:pPr>
          </w:p>
        </w:tc>
      </w:tr>
      <w:tr w14:paraId="73A30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99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18BEDF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产出指标</w:t>
            </w:r>
          </w:p>
        </w:tc>
        <w:tc>
          <w:tcPr>
            <w:tcW w:w="14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D5349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214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1734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前端感知点位数量</w:t>
            </w:r>
          </w:p>
        </w:tc>
        <w:tc>
          <w:tcPr>
            <w:tcW w:w="117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3EEE93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0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44265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7814</w:t>
            </w:r>
          </w:p>
        </w:tc>
        <w:tc>
          <w:tcPr>
            <w:tcW w:w="1130" w:type="dxa"/>
            <w:tcBorders>
              <w:top w:val="single" w:color="auto" w:sz="4" w:space="0"/>
              <w:left w:val="single" w:color="auto" w:sz="4" w:space="0"/>
              <w:bottom w:val="single" w:color="auto" w:sz="4" w:space="0"/>
              <w:right w:val="single" w:color="auto" w:sz="4" w:space="0"/>
            </w:tcBorders>
            <w:shd w:val="clear" w:color="auto" w:fill="auto"/>
            <w:vAlign w:val="center"/>
          </w:tcPr>
          <w:p w14:paraId="435EC0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点</w:t>
            </w:r>
          </w:p>
        </w:tc>
        <w:tc>
          <w:tcPr>
            <w:tcW w:w="22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975DA9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反映项目实施后前端感知能力服务路数情况</w:t>
            </w:r>
          </w:p>
        </w:tc>
        <w:tc>
          <w:tcPr>
            <w:tcW w:w="3837" w:type="dxa"/>
            <w:tcBorders>
              <w:top w:val="single" w:color="auto" w:sz="4" w:space="0"/>
              <w:left w:val="single" w:color="auto" w:sz="4" w:space="0"/>
              <w:bottom w:val="single" w:color="auto" w:sz="4" w:space="0"/>
              <w:right w:val="single" w:color="auto" w:sz="4" w:space="0"/>
            </w:tcBorders>
            <w:shd w:val="clear" w:color="auto" w:fill="auto"/>
            <w:vAlign w:val="center"/>
          </w:tcPr>
          <w:p w14:paraId="6240919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评分标准：前端感知点位数量≥7814路，得满分，每少100路，扣1分，扣完为止。</w:t>
            </w:r>
          </w:p>
        </w:tc>
      </w:tr>
      <w:tr w14:paraId="30B21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5" w:hRule="atLeast"/>
          <w:jc w:val="center"/>
        </w:trPr>
        <w:tc>
          <w:tcPr>
            <w:tcW w:w="19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1133A85">
            <w:pPr>
              <w:jc w:val="center"/>
              <w:rPr>
                <w:rFonts w:hint="eastAsia" w:ascii="宋体" w:hAnsi="宋体" w:eastAsia="宋体" w:cs="宋体"/>
                <w:b/>
                <w:bCs/>
                <w:i w:val="0"/>
                <w:iCs w:val="0"/>
                <w:color w:val="000000"/>
                <w:sz w:val="20"/>
                <w:szCs w:val="20"/>
                <w:u w:val="none"/>
              </w:rPr>
            </w:pPr>
          </w:p>
        </w:tc>
        <w:tc>
          <w:tcPr>
            <w:tcW w:w="14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8EB94F">
            <w:pPr>
              <w:jc w:val="center"/>
              <w:rPr>
                <w:rFonts w:hint="eastAsia" w:ascii="宋体" w:hAnsi="宋体" w:eastAsia="宋体" w:cs="宋体"/>
                <w:i w:val="0"/>
                <w:iCs w:val="0"/>
                <w:color w:val="000000"/>
                <w:sz w:val="20"/>
                <w:szCs w:val="20"/>
                <w:u w:val="none"/>
              </w:rPr>
            </w:pPr>
          </w:p>
        </w:tc>
        <w:tc>
          <w:tcPr>
            <w:tcW w:w="2141" w:type="dxa"/>
            <w:tcBorders>
              <w:top w:val="single" w:color="auto" w:sz="4" w:space="0"/>
              <w:left w:val="single" w:color="auto" w:sz="4" w:space="0"/>
              <w:bottom w:val="single" w:color="auto" w:sz="4" w:space="0"/>
              <w:right w:val="single" w:color="auto" w:sz="4" w:space="0"/>
            </w:tcBorders>
            <w:shd w:val="clear" w:color="auto" w:fill="auto"/>
            <w:vAlign w:val="center"/>
          </w:tcPr>
          <w:p w14:paraId="5ED255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购置软件系统服务数量</w:t>
            </w:r>
          </w:p>
        </w:tc>
        <w:tc>
          <w:tcPr>
            <w:tcW w:w="117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40D213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0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94FE7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30" w:type="dxa"/>
            <w:tcBorders>
              <w:top w:val="single" w:color="auto" w:sz="4" w:space="0"/>
              <w:left w:val="single" w:color="auto" w:sz="4" w:space="0"/>
              <w:bottom w:val="single" w:color="auto" w:sz="4" w:space="0"/>
              <w:right w:val="single" w:color="auto" w:sz="4" w:space="0"/>
            </w:tcBorders>
            <w:shd w:val="clear" w:color="auto" w:fill="auto"/>
            <w:vAlign w:val="center"/>
          </w:tcPr>
          <w:p w14:paraId="1B5039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22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3D6431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反映软件能力服务套数情况</w:t>
            </w:r>
          </w:p>
        </w:tc>
        <w:tc>
          <w:tcPr>
            <w:tcW w:w="3837" w:type="dxa"/>
            <w:tcBorders>
              <w:top w:val="single" w:color="auto" w:sz="4" w:space="0"/>
              <w:left w:val="single" w:color="auto" w:sz="4" w:space="0"/>
              <w:bottom w:val="single" w:color="auto" w:sz="4" w:space="0"/>
              <w:right w:val="single" w:color="auto" w:sz="4" w:space="0"/>
            </w:tcBorders>
            <w:shd w:val="clear" w:color="auto" w:fill="auto"/>
            <w:vAlign w:val="center"/>
          </w:tcPr>
          <w:p w14:paraId="25EBD0F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评分标准：购置软件系统服务数量≥1套，得满分，否则不得分。</w:t>
            </w:r>
          </w:p>
        </w:tc>
      </w:tr>
      <w:tr w14:paraId="05DFB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9" w:hRule="atLeast"/>
          <w:jc w:val="center"/>
        </w:trPr>
        <w:tc>
          <w:tcPr>
            <w:tcW w:w="199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0FD7D2F">
            <w:pPr>
              <w:jc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产出指标</w:t>
            </w:r>
          </w:p>
        </w:tc>
        <w:tc>
          <w:tcPr>
            <w:tcW w:w="14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52079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2141" w:type="dxa"/>
            <w:tcBorders>
              <w:top w:val="single" w:color="auto" w:sz="4" w:space="0"/>
              <w:left w:val="single" w:color="auto" w:sz="4" w:space="0"/>
              <w:bottom w:val="single" w:color="auto" w:sz="4" w:space="0"/>
              <w:right w:val="single" w:color="auto" w:sz="4" w:space="0"/>
            </w:tcBorders>
            <w:shd w:val="clear" w:color="auto" w:fill="auto"/>
            <w:vAlign w:val="center"/>
          </w:tcPr>
          <w:p w14:paraId="4C8CA2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项目验收合格率</w:t>
            </w:r>
          </w:p>
        </w:tc>
        <w:tc>
          <w:tcPr>
            <w:tcW w:w="117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49889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0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1EFDA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130" w:type="dxa"/>
            <w:tcBorders>
              <w:top w:val="single" w:color="auto" w:sz="4" w:space="0"/>
              <w:left w:val="single" w:color="auto" w:sz="4" w:space="0"/>
              <w:bottom w:val="single" w:color="auto" w:sz="4" w:space="0"/>
              <w:right w:val="single" w:color="auto" w:sz="4" w:space="0"/>
            </w:tcBorders>
            <w:shd w:val="clear" w:color="auto" w:fill="auto"/>
            <w:vAlign w:val="center"/>
          </w:tcPr>
          <w:p w14:paraId="63C04D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百分比</w:t>
            </w:r>
          </w:p>
        </w:tc>
        <w:tc>
          <w:tcPr>
            <w:tcW w:w="22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481D92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反映项目验收合格情况</w:t>
            </w:r>
          </w:p>
        </w:tc>
        <w:tc>
          <w:tcPr>
            <w:tcW w:w="3837" w:type="dxa"/>
            <w:tcBorders>
              <w:top w:val="single" w:color="auto" w:sz="4" w:space="0"/>
              <w:left w:val="single" w:color="auto" w:sz="4" w:space="0"/>
              <w:bottom w:val="single" w:color="auto" w:sz="4" w:space="0"/>
              <w:right w:val="single" w:color="auto" w:sz="4" w:space="0"/>
            </w:tcBorders>
            <w:shd w:val="clear" w:color="auto" w:fill="auto"/>
            <w:vAlign w:val="center"/>
          </w:tcPr>
          <w:p w14:paraId="4EC8B5B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评分标准：验收合格率=100%，得满分，否则不得分。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验收合格率=通过验收数/总验收数</w:t>
            </w:r>
          </w:p>
        </w:tc>
      </w:tr>
      <w:tr w14:paraId="5D6E0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3" w:hRule="atLeast"/>
          <w:jc w:val="center"/>
        </w:trPr>
        <w:tc>
          <w:tcPr>
            <w:tcW w:w="19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827413">
            <w:pPr>
              <w:jc w:val="center"/>
              <w:rPr>
                <w:rFonts w:hint="eastAsia" w:ascii="宋体" w:hAnsi="宋体" w:eastAsia="宋体" w:cs="宋体"/>
                <w:b/>
                <w:bCs/>
                <w:i w:val="0"/>
                <w:iCs w:val="0"/>
                <w:color w:val="000000"/>
                <w:sz w:val="20"/>
                <w:szCs w:val="20"/>
                <w:u w:val="none"/>
              </w:rPr>
            </w:pPr>
          </w:p>
        </w:tc>
        <w:tc>
          <w:tcPr>
            <w:tcW w:w="14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F4FB9C">
            <w:pPr>
              <w:jc w:val="center"/>
              <w:rPr>
                <w:rFonts w:hint="eastAsia" w:ascii="宋体" w:hAnsi="宋体" w:eastAsia="宋体" w:cs="宋体"/>
                <w:i w:val="0"/>
                <w:iCs w:val="0"/>
                <w:color w:val="000000"/>
                <w:sz w:val="20"/>
                <w:szCs w:val="20"/>
                <w:u w:val="none"/>
              </w:rPr>
            </w:pPr>
          </w:p>
        </w:tc>
        <w:tc>
          <w:tcPr>
            <w:tcW w:w="214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9C09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系统故障率</w:t>
            </w:r>
          </w:p>
        </w:tc>
        <w:tc>
          <w:tcPr>
            <w:tcW w:w="117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F902C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0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FA85E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130" w:type="dxa"/>
            <w:tcBorders>
              <w:top w:val="single" w:color="auto" w:sz="4" w:space="0"/>
              <w:left w:val="single" w:color="auto" w:sz="4" w:space="0"/>
              <w:bottom w:val="single" w:color="auto" w:sz="4" w:space="0"/>
              <w:right w:val="single" w:color="auto" w:sz="4" w:space="0"/>
            </w:tcBorders>
            <w:shd w:val="clear" w:color="auto" w:fill="auto"/>
            <w:vAlign w:val="center"/>
          </w:tcPr>
          <w:p w14:paraId="0A90BF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百分比</w:t>
            </w:r>
          </w:p>
        </w:tc>
        <w:tc>
          <w:tcPr>
            <w:tcW w:w="22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15B21E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反映项目发生系统故障情况</w:t>
            </w:r>
          </w:p>
        </w:tc>
        <w:tc>
          <w:tcPr>
            <w:tcW w:w="3837" w:type="dxa"/>
            <w:tcBorders>
              <w:top w:val="single" w:color="auto" w:sz="4" w:space="0"/>
              <w:left w:val="single" w:color="auto" w:sz="4" w:space="0"/>
              <w:bottom w:val="single" w:color="auto" w:sz="4" w:space="0"/>
              <w:right w:val="single" w:color="auto" w:sz="4" w:space="0"/>
            </w:tcBorders>
            <w:shd w:val="clear" w:color="auto" w:fill="auto"/>
            <w:vAlign w:val="center"/>
          </w:tcPr>
          <w:p w14:paraId="690C3FC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评分标准：系统故障率≤5%，得满分，否则不得分。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系统故障率=发生系统故障数/总运行天数</w:t>
            </w:r>
          </w:p>
        </w:tc>
      </w:tr>
      <w:tr w14:paraId="177FA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jc w:val="center"/>
        </w:trPr>
        <w:tc>
          <w:tcPr>
            <w:tcW w:w="19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49A0F87">
            <w:pPr>
              <w:jc w:val="center"/>
              <w:rPr>
                <w:rFonts w:hint="eastAsia" w:ascii="宋体" w:hAnsi="宋体" w:eastAsia="宋体" w:cs="宋体"/>
                <w:b/>
                <w:bCs/>
                <w:i w:val="0"/>
                <w:iCs w:val="0"/>
                <w:color w:val="000000"/>
                <w:sz w:val="20"/>
                <w:szCs w:val="20"/>
                <w:u w:val="none"/>
              </w:rPr>
            </w:pPr>
          </w:p>
        </w:tc>
        <w:tc>
          <w:tcPr>
            <w:tcW w:w="14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783B1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2141" w:type="dxa"/>
            <w:tcBorders>
              <w:top w:val="single" w:color="auto" w:sz="4" w:space="0"/>
              <w:left w:val="single" w:color="auto" w:sz="4" w:space="0"/>
              <w:bottom w:val="single" w:color="auto" w:sz="4" w:space="0"/>
              <w:right w:val="single" w:color="auto" w:sz="4" w:space="0"/>
            </w:tcBorders>
            <w:shd w:val="clear" w:color="auto" w:fill="auto"/>
            <w:vAlign w:val="center"/>
          </w:tcPr>
          <w:p w14:paraId="551402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故障修复时间</w:t>
            </w:r>
          </w:p>
        </w:tc>
        <w:tc>
          <w:tcPr>
            <w:tcW w:w="117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C40A7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0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7B38D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1130" w:type="dxa"/>
            <w:tcBorders>
              <w:top w:val="single" w:color="auto" w:sz="4" w:space="0"/>
              <w:left w:val="single" w:color="auto" w:sz="4" w:space="0"/>
              <w:bottom w:val="single" w:color="auto" w:sz="4" w:space="0"/>
              <w:right w:val="single" w:color="auto" w:sz="4" w:space="0"/>
            </w:tcBorders>
            <w:shd w:val="clear" w:color="auto" w:fill="auto"/>
            <w:vAlign w:val="center"/>
          </w:tcPr>
          <w:p w14:paraId="590028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小时</w:t>
            </w:r>
          </w:p>
        </w:tc>
        <w:tc>
          <w:tcPr>
            <w:tcW w:w="22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05950E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反映项目故障修复情况</w:t>
            </w:r>
          </w:p>
        </w:tc>
        <w:tc>
          <w:tcPr>
            <w:tcW w:w="3837" w:type="dxa"/>
            <w:tcBorders>
              <w:top w:val="single" w:color="auto" w:sz="4" w:space="0"/>
              <w:left w:val="single" w:color="auto" w:sz="4" w:space="0"/>
              <w:bottom w:val="single" w:color="auto" w:sz="4" w:space="0"/>
              <w:right w:val="single" w:color="auto" w:sz="4" w:space="0"/>
            </w:tcBorders>
            <w:shd w:val="clear" w:color="auto" w:fill="auto"/>
            <w:vAlign w:val="center"/>
          </w:tcPr>
          <w:p w14:paraId="4374F76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评分标准：故障修复时间≤48小时，得满分，发现一次扣1分，扣完为止。</w:t>
            </w:r>
          </w:p>
        </w:tc>
      </w:tr>
      <w:tr w14:paraId="30351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5" w:hRule="atLeast"/>
          <w:jc w:val="center"/>
        </w:trPr>
        <w:tc>
          <w:tcPr>
            <w:tcW w:w="19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64BCC21">
            <w:pPr>
              <w:jc w:val="center"/>
              <w:rPr>
                <w:rFonts w:hint="eastAsia" w:ascii="宋体" w:hAnsi="宋体" w:eastAsia="宋体" w:cs="宋体"/>
                <w:b/>
                <w:bCs/>
                <w:i w:val="0"/>
                <w:iCs w:val="0"/>
                <w:color w:val="000000"/>
                <w:sz w:val="20"/>
                <w:szCs w:val="20"/>
                <w:u w:val="none"/>
              </w:rPr>
            </w:pPr>
          </w:p>
        </w:tc>
        <w:tc>
          <w:tcPr>
            <w:tcW w:w="14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66BCCD">
            <w:pPr>
              <w:jc w:val="center"/>
              <w:rPr>
                <w:rFonts w:hint="eastAsia" w:ascii="宋体" w:hAnsi="宋体" w:eastAsia="宋体" w:cs="宋体"/>
                <w:i w:val="0"/>
                <w:iCs w:val="0"/>
                <w:color w:val="000000"/>
                <w:sz w:val="20"/>
                <w:szCs w:val="20"/>
                <w:u w:val="none"/>
              </w:rPr>
            </w:pPr>
          </w:p>
        </w:tc>
        <w:tc>
          <w:tcPr>
            <w:tcW w:w="214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A936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维护响应时间</w:t>
            </w:r>
          </w:p>
        </w:tc>
        <w:tc>
          <w:tcPr>
            <w:tcW w:w="117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77128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0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D3A41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130" w:type="dxa"/>
            <w:tcBorders>
              <w:top w:val="single" w:color="auto" w:sz="4" w:space="0"/>
              <w:left w:val="single" w:color="auto" w:sz="4" w:space="0"/>
              <w:bottom w:val="single" w:color="auto" w:sz="4" w:space="0"/>
              <w:right w:val="single" w:color="auto" w:sz="4" w:space="0"/>
            </w:tcBorders>
            <w:shd w:val="clear" w:color="auto" w:fill="auto"/>
            <w:vAlign w:val="center"/>
          </w:tcPr>
          <w:p w14:paraId="4D649C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小时</w:t>
            </w:r>
          </w:p>
        </w:tc>
        <w:tc>
          <w:tcPr>
            <w:tcW w:w="22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F9E152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反映项目维护响应情况</w:t>
            </w:r>
          </w:p>
        </w:tc>
        <w:tc>
          <w:tcPr>
            <w:tcW w:w="3837" w:type="dxa"/>
            <w:tcBorders>
              <w:top w:val="single" w:color="auto" w:sz="4" w:space="0"/>
              <w:left w:val="single" w:color="auto" w:sz="4" w:space="0"/>
              <w:bottom w:val="single" w:color="auto" w:sz="4" w:space="0"/>
              <w:right w:val="single" w:color="auto" w:sz="4" w:space="0"/>
            </w:tcBorders>
            <w:shd w:val="clear" w:color="auto" w:fill="auto"/>
            <w:vAlign w:val="center"/>
          </w:tcPr>
          <w:p w14:paraId="2D26BDB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评分标准：维护响应时间≤4小时，得满分，发现一次扣1分，扣完为止。</w:t>
            </w:r>
          </w:p>
        </w:tc>
      </w:tr>
      <w:tr w14:paraId="19F68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19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A2B08B">
            <w:pPr>
              <w:jc w:val="center"/>
              <w:rPr>
                <w:rFonts w:hint="eastAsia" w:ascii="宋体" w:hAnsi="宋体" w:eastAsia="宋体" w:cs="宋体"/>
                <w:b/>
                <w:bCs/>
                <w:i w:val="0"/>
                <w:iCs w:val="0"/>
                <w:color w:val="000000"/>
                <w:sz w:val="20"/>
                <w:szCs w:val="20"/>
                <w:u w:val="none"/>
              </w:rPr>
            </w:pPr>
          </w:p>
        </w:tc>
        <w:tc>
          <w:tcPr>
            <w:tcW w:w="1460" w:type="dxa"/>
            <w:tcBorders>
              <w:top w:val="single" w:color="auto" w:sz="4" w:space="0"/>
              <w:left w:val="single" w:color="auto" w:sz="4" w:space="0"/>
              <w:bottom w:val="single" w:color="auto" w:sz="4" w:space="0"/>
              <w:right w:val="single" w:color="auto" w:sz="4" w:space="0"/>
            </w:tcBorders>
            <w:shd w:val="clear" w:color="auto" w:fill="auto"/>
            <w:vAlign w:val="center"/>
          </w:tcPr>
          <w:p w14:paraId="73AE0E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214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99A3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购买服务费用</w:t>
            </w:r>
          </w:p>
        </w:tc>
        <w:tc>
          <w:tcPr>
            <w:tcW w:w="117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115E67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0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F7480B9">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15000000</w:t>
            </w:r>
          </w:p>
        </w:tc>
        <w:tc>
          <w:tcPr>
            <w:tcW w:w="1130" w:type="dxa"/>
            <w:tcBorders>
              <w:top w:val="single" w:color="auto" w:sz="4" w:space="0"/>
              <w:left w:val="single" w:color="auto" w:sz="4" w:space="0"/>
              <w:bottom w:val="single" w:color="auto" w:sz="4" w:space="0"/>
              <w:right w:val="single" w:color="auto" w:sz="4" w:space="0"/>
            </w:tcBorders>
            <w:shd w:val="clear" w:color="auto" w:fill="auto"/>
            <w:vAlign w:val="center"/>
          </w:tcPr>
          <w:p w14:paraId="3A3FF0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w:t>
            </w:r>
          </w:p>
        </w:tc>
        <w:tc>
          <w:tcPr>
            <w:tcW w:w="22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465919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反映项目总成本控制情况</w:t>
            </w:r>
          </w:p>
        </w:tc>
        <w:tc>
          <w:tcPr>
            <w:tcW w:w="3837" w:type="dxa"/>
            <w:tcBorders>
              <w:top w:val="single" w:color="auto" w:sz="4" w:space="0"/>
              <w:left w:val="single" w:color="auto" w:sz="4" w:space="0"/>
              <w:bottom w:val="single" w:color="auto" w:sz="4" w:space="0"/>
              <w:right w:val="single" w:color="auto" w:sz="4" w:space="0"/>
            </w:tcBorders>
            <w:shd w:val="clear" w:color="auto" w:fill="auto"/>
            <w:vAlign w:val="center"/>
          </w:tcPr>
          <w:p w14:paraId="1744BCF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评分标准：购买服务费用≤15000000元，得满分，否则不得分</w:t>
            </w:r>
          </w:p>
        </w:tc>
      </w:tr>
      <w:tr w14:paraId="57F18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7" w:hRule="atLeast"/>
          <w:jc w:val="center"/>
        </w:trPr>
        <w:tc>
          <w:tcPr>
            <w:tcW w:w="1996" w:type="dxa"/>
            <w:tcBorders>
              <w:top w:val="single" w:color="auto" w:sz="4" w:space="0"/>
              <w:left w:val="single" w:color="auto" w:sz="4" w:space="0"/>
              <w:bottom w:val="single" w:color="auto" w:sz="4" w:space="0"/>
              <w:right w:val="single" w:color="auto" w:sz="4" w:space="0"/>
            </w:tcBorders>
            <w:shd w:val="clear" w:color="auto" w:fill="auto"/>
            <w:vAlign w:val="center"/>
          </w:tcPr>
          <w:p w14:paraId="35FB5DD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效益指标</w:t>
            </w:r>
          </w:p>
        </w:tc>
        <w:tc>
          <w:tcPr>
            <w:tcW w:w="1460" w:type="dxa"/>
            <w:tcBorders>
              <w:top w:val="single" w:color="auto" w:sz="4" w:space="0"/>
              <w:left w:val="single" w:color="auto" w:sz="4" w:space="0"/>
              <w:bottom w:val="single" w:color="auto" w:sz="4" w:space="0"/>
              <w:right w:val="single" w:color="auto" w:sz="4" w:space="0"/>
            </w:tcBorders>
            <w:shd w:val="clear" w:color="auto" w:fill="auto"/>
            <w:vAlign w:val="center"/>
          </w:tcPr>
          <w:p w14:paraId="581DB5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2141" w:type="dxa"/>
            <w:tcBorders>
              <w:top w:val="single" w:color="auto" w:sz="4" w:space="0"/>
              <w:left w:val="single" w:color="auto" w:sz="4" w:space="0"/>
              <w:bottom w:val="single" w:color="auto" w:sz="4" w:space="0"/>
              <w:right w:val="single" w:color="auto" w:sz="4" w:space="0"/>
            </w:tcBorders>
            <w:shd w:val="clear" w:color="auto" w:fill="auto"/>
            <w:vAlign w:val="center"/>
          </w:tcPr>
          <w:p w14:paraId="445FF1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提升立体化社会治安防控能力</w:t>
            </w:r>
          </w:p>
        </w:tc>
        <w:tc>
          <w:tcPr>
            <w:tcW w:w="117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CCDD2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定性</w:t>
            </w:r>
          </w:p>
        </w:tc>
        <w:tc>
          <w:tcPr>
            <w:tcW w:w="10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14DEC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提升</w:t>
            </w:r>
          </w:p>
        </w:tc>
        <w:tc>
          <w:tcPr>
            <w:tcW w:w="1130" w:type="dxa"/>
            <w:tcBorders>
              <w:top w:val="single" w:color="auto" w:sz="4" w:space="0"/>
              <w:left w:val="single" w:color="auto" w:sz="4" w:space="0"/>
              <w:bottom w:val="single" w:color="auto" w:sz="4" w:space="0"/>
              <w:right w:val="single" w:color="auto" w:sz="4" w:space="0"/>
            </w:tcBorders>
            <w:shd w:val="clear" w:color="auto" w:fill="auto"/>
            <w:vAlign w:val="center"/>
          </w:tcPr>
          <w:p w14:paraId="2180D15D">
            <w:pPr>
              <w:jc w:val="center"/>
              <w:rPr>
                <w:rFonts w:hint="eastAsia" w:ascii="宋体" w:hAnsi="宋体" w:eastAsia="宋体" w:cs="宋体"/>
                <w:i w:val="0"/>
                <w:iCs w:val="0"/>
                <w:color w:val="000000"/>
                <w:sz w:val="20"/>
                <w:szCs w:val="20"/>
                <w:u w:val="none"/>
              </w:rPr>
            </w:pPr>
          </w:p>
        </w:tc>
        <w:tc>
          <w:tcPr>
            <w:tcW w:w="2259"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39F29E9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反映建立立体化社会治安防控能力情况</w:t>
            </w:r>
          </w:p>
        </w:tc>
        <w:tc>
          <w:tcPr>
            <w:tcW w:w="3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7043F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评分标准：减少因监控盲区导致的公共安全事件数量，并使侦破案件时间缩短15%</w:t>
            </w:r>
          </w:p>
        </w:tc>
      </w:tr>
      <w:tr w14:paraId="3661C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2" w:hRule="atLeast"/>
          <w:jc w:val="center"/>
        </w:trPr>
        <w:tc>
          <w:tcPr>
            <w:tcW w:w="1996" w:type="dxa"/>
            <w:tcBorders>
              <w:top w:val="single" w:color="auto" w:sz="4" w:space="0"/>
              <w:left w:val="single" w:color="auto" w:sz="4" w:space="0"/>
              <w:bottom w:val="single" w:color="auto" w:sz="4" w:space="0"/>
              <w:right w:val="single" w:color="auto" w:sz="4" w:space="0"/>
            </w:tcBorders>
            <w:shd w:val="clear" w:color="auto" w:fill="auto"/>
            <w:vAlign w:val="center"/>
          </w:tcPr>
          <w:p w14:paraId="26313FC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满意度指标</w:t>
            </w:r>
          </w:p>
        </w:tc>
        <w:tc>
          <w:tcPr>
            <w:tcW w:w="1460" w:type="dxa"/>
            <w:tcBorders>
              <w:top w:val="single" w:color="auto" w:sz="4" w:space="0"/>
              <w:left w:val="single" w:color="auto" w:sz="4" w:space="0"/>
              <w:bottom w:val="single" w:color="auto" w:sz="4" w:space="0"/>
              <w:right w:val="single" w:color="auto" w:sz="4" w:space="0"/>
            </w:tcBorders>
            <w:shd w:val="clear" w:color="auto" w:fill="auto"/>
            <w:vAlign w:val="center"/>
          </w:tcPr>
          <w:p w14:paraId="38FC72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214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A323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单位人员满意度</w:t>
            </w:r>
          </w:p>
        </w:tc>
        <w:tc>
          <w:tcPr>
            <w:tcW w:w="117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81495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0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69F0F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1130" w:type="dxa"/>
            <w:tcBorders>
              <w:top w:val="single" w:color="auto" w:sz="4" w:space="0"/>
              <w:left w:val="single" w:color="auto" w:sz="4" w:space="0"/>
              <w:bottom w:val="single" w:color="auto" w:sz="4" w:space="0"/>
              <w:right w:val="single" w:color="auto" w:sz="4" w:space="0"/>
            </w:tcBorders>
            <w:shd w:val="clear" w:color="auto" w:fill="auto"/>
            <w:vAlign w:val="center"/>
          </w:tcPr>
          <w:p w14:paraId="120047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2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451CDB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反映本项目实施后单位人员满意度情况</w:t>
            </w:r>
          </w:p>
        </w:tc>
        <w:tc>
          <w:tcPr>
            <w:tcW w:w="3837" w:type="dxa"/>
            <w:tcBorders>
              <w:top w:val="single" w:color="auto" w:sz="4" w:space="0"/>
              <w:left w:val="single" w:color="auto" w:sz="4" w:space="0"/>
              <w:bottom w:val="single" w:color="auto" w:sz="4" w:space="0"/>
              <w:right w:val="single" w:color="auto" w:sz="4" w:space="0"/>
            </w:tcBorders>
            <w:shd w:val="clear" w:color="auto" w:fill="auto"/>
            <w:vAlign w:val="center"/>
          </w:tcPr>
          <w:p w14:paraId="41453B1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评分标准：单位人员满意度≥95%，得满分，否则不得分。</w:t>
            </w:r>
          </w:p>
        </w:tc>
      </w:tr>
    </w:tbl>
    <w:p w14:paraId="79CBA020">
      <w:pPr>
        <w:rPr>
          <w:rFonts w:hint="eastAsia"/>
        </w:rPr>
      </w:pPr>
      <w:r>
        <w:rPr>
          <w:rFonts w:hint="eastAsia" w:ascii="宋体" w:hAnsi="宋体" w:eastAsia="宋体" w:cs="宋体"/>
          <w:sz w:val="20"/>
          <w:szCs w:val="20"/>
        </w:rPr>
        <w:br w:type="page"/>
      </w:r>
    </w:p>
    <w:p w14:paraId="5329D4D5">
      <w:pPr>
        <w:keepNext w:val="0"/>
        <w:keepLines w:val="0"/>
        <w:pageBreakBefore w:val="0"/>
        <w:widowControl w:val="0"/>
        <w:kinsoku/>
        <w:wordWrap/>
        <w:overflowPunct/>
        <w:topLinePunct w:val="0"/>
        <w:autoSpaceDE/>
        <w:autoSpaceDN/>
        <w:bidi w:val="0"/>
        <w:adjustRightInd/>
        <w:snapToGrid w:val="0"/>
        <w:spacing w:line="550" w:lineRule="exact"/>
        <w:jc w:val="center"/>
        <w:textAlignment w:val="auto"/>
        <w:rPr>
          <w:rFonts w:hint="eastAsia" w:ascii="微软雅黑" w:hAnsi="微软雅黑" w:eastAsia="微软雅黑" w:cs="微软雅黑"/>
          <w:bCs/>
          <w:sz w:val="44"/>
          <w:szCs w:val="44"/>
          <w:lang w:eastAsia="zh-CN"/>
        </w:rPr>
      </w:pPr>
      <w:r>
        <w:rPr>
          <w:rFonts w:hint="eastAsia" w:ascii="微软雅黑" w:hAnsi="微软雅黑" w:eastAsia="微软雅黑" w:cs="微软雅黑"/>
          <w:bCs/>
          <w:sz w:val="44"/>
          <w:szCs w:val="44"/>
          <w:lang w:eastAsia="zh-CN"/>
        </w:rPr>
        <w:t>项目</w:t>
      </w:r>
      <w:r>
        <w:rPr>
          <w:rFonts w:hint="eastAsia" w:ascii="微软雅黑" w:hAnsi="微软雅黑" w:eastAsia="微软雅黑" w:cs="微软雅黑"/>
          <w:bCs/>
          <w:sz w:val="44"/>
          <w:szCs w:val="44"/>
          <w:lang w:val="en-US" w:eastAsia="zh-CN"/>
        </w:rPr>
        <w:t>8：</w:t>
      </w:r>
      <w:r>
        <w:rPr>
          <w:rFonts w:hint="eastAsia" w:ascii="微软雅黑" w:hAnsi="微软雅黑" w:eastAsia="微软雅黑" w:cs="微软雅黑"/>
          <w:bCs/>
          <w:sz w:val="44"/>
          <w:szCs w:val="44"/>
          <w:lang w:eastAsia="zh-CN"/>
        </w:rPr>
        <w:t>华为（贵阳贵安）数字经济创新中心项目</w:t>
      </w:r>
    </w:p>
    <w:p w14:paraId="1E6F7BD7">
      <w:pPr>
        <w:keepNext w:val="0"/>
        <w:keepLines w:val="0"/>
        <w:pageBreakBefore w:val="0"/>
        <w:widowControl w:val="0"/>
        <w:kinsoku/>
        <w:wordWrap/>
        <w:overflowPunct/>
        <w:topLinePunct w:val="0"/>
        <w:autoSpaceDE/>
        <w:autoSpaceDN/>
        <w:bidi w:val="0"/>
        <w:adjustRightInd/>
        <w:snapToGrid w:val="0"/>
        <w:spacing w:line="550" w:lineRule="exact"/>
        <w:jc w:val="center"/>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（贵州贵安新区管理委员会投资促进局）</w:t>
      </w:r>
    </w:p>
    <w:p w14:paraId="46514F28">
      <w:pPr>
        <w:keepNext w:val="0"/>
        <w:keepLines w:val="0"/>
        <w:pageBreakBefore w:val="0"/>
        <w:widowControl w:val="0"/>
        <w:numPr>
          <w:ilvl w:val="0"/>
          <w:numId w:val="0"/>
        </w:numPr>
        <w:kinsoku/>
        <w:wordWrap/>
        <w:overflowPunct/>
        <w:topLinePunct w:val="0"/>
        <w:autoSpaceDE/>
        <w:autoSpaceDN/>
        <w:bidi w:val="0"/>
        <w:adjustRightInd/>
        <w:snapToGrid w:val="0"/>
        <w:spacing w:line="550" w:lineRule="exact"/>
        <w:ind w:firstLine="644" w:firstLineChars="200"/>
        <w:jc w:val="left"/>
        <w:textAlignment w:val="auto"/>
        <w:rPr>
          <w:rFonts w:hint="eastAsia" w:ascii="黑体" w:hAnsi="黑体" w:eastAsia="黑体" w:cs="Times New Roman"/>
          <w:sz w:val="32"/>
          <w:szCs w:val="32"/>
          <w:lang w:val="en-US" w:eastAsia="zh-CN"/>
        </w:rPr>
      </w:pPr>
    </w:p>
    <w:p w14:paraId="5840FFE4">
      <w:pPr>
        <w:keepNext w:val="0"/>
        <w:keepLines w:val="0"/>
        <w:pageBreakBefore w:val="0"/>
        <w:widowControl w:val="0"/>
        <w:numPr>
          <w:ilvl w:val="0"/>
          <w:numId w:val="0"/>
        </w:numPr>
        <w:kinsoku/>
        <w:wordWrap/>
        <w:overflowPunct/>
        <w:topLinePunct w:val="0"/>
        <w:autoSpaceDE/>
        <w:autoSpaceDN/>
        <w:bidi w:val="0"/>
        <w:adjustRightInd/>
        <w:snapToGrid w:val="0"/>
        <w:spacing w:line="546" w:lineRule="exact"/>
        <w:ind w:firstLine="644" w:firstLineChars="200"/>
        <w:jc w:val="left"/>
        <w:textAlignment w:val="auto"/>
        <w:rPr>
          <w:rFonts w:ascii="黑体" w:hAnsi="黑体" w:eastAsia="黑体" w:cs="Times New Roman"/>
          <w:sz w:val="32"/>
          <w:szCs w:val="32"/>
        </w:rPr>
      </w:pPr>
      <w:r>
        <w:rPr>
          <w:rFonts w:hint="eastAsia" w:ascii="黑体" w:hAnsi="黑体" w:eastAsia="黑体" w:cs="Times New Roman"/>
          <w:sz w:val="32"/>
          <w:szCs w:val="32"/>
          <w:lang w:val="en-US" w:eastAsia="zh-CN"/>
        </w:rPr>
        <w:t>一</w:t>
      </w:r>
      <w:r>
        <w:rPr>
          <w:rFonts w:hint="eastAsia" w:ascii="黑体" w:hAnsi="黑体" w:eastAsia="黑体" w:cs="Times New Roman"/>
          <w:sz w:val="32"/>
          <w:szCs w:val="32"/>
          <w:lang w:eastAsia="zh-CN"/>
        </w:rPr>
        <w:t>、</w:t>
      </w:r>
      <w:r>
        <w:rPr>
          <w:rFonts w:hint="eastAsia" w:ascii="黑体" w:hAnsi="黑体" w:eastAsia="黑体" w:cs="Times New Roman"/>
          <w:sz w:val="32"/>
          <w:szCs w:val="32"/>
        </w:rPr>
        <w:t>项目概述</w:t>
      </w:r>
    </w:p>
    <w:p w14:paraId="57FB0449">
      <w:pPr>
        <w:pStyle w:val="8"/>
        <w:keepNext w:val="0"/>
        <w:keepLines w:val="0"/>
        <w:pageBreakBefore w:val="0"/>
        <w:widowControl w:val="0"/>
        <w:kinsoku/>
        <w:wordWrap/>
        <w:overflowPunct/>
        <w:topLinePunct w:val="0"/>
        <w:autoSpaceDE/>
        <w:autoSpaceDN/>
        <w:bidi w:val="0"/>
        <w:adjustRightInd/>
        <w:snapToGrid w:val="0"/>
        <w:spacing w:line="546" w:lineRule="exact"/>
        <w:ind w:firstLine="644" w:firstLineChars="200"/>
        <w:jc w:val="lef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根据华为云公司与贵阳市人民政府、贵安新区管理委员会签署的《华为（贵阳贵安）数字经济创新中心项目战略合作协议》，打造华为（贵阳贵安）数字经济创新中心。该项目主要建设内容为：</w:t>
      </w:r>
    </w:p>
    <w:p w14:paraId="35B21CC0">
      <w:pPr>
        <w:keepNext w:val="0"/>
        <w:keepLines w:val="0"/>
        <w:pageBreakBefore w:val="0"/>
        <w:widowControl w:val="0"/>
        <w:kinsoku/>
        <w:wordWrap/>
        <w:overflowPunct/>
        <w:topLinePunct w:val="0"/>
        <w:autoSpaceDE/>
        <w:autoSpaceDN/>
        <w:bidi w:val="0"/>
        <w:adjustRightInd/>
        <w:snapToGrid w:val="0"/>
        <w:spacing w:line="546" w:lineRule="exact"/>
        <w:ind w:firstLine="644" w:firstLineChars="200"/>
        <w:jc w:val="left"/>
        <w:textAlignment w:val="auto"/>
        <w:rPr>
          <w:rFonts w:hint="eastAsia" w:ascii="方正楷体_GB2312" w:hAnsi="方正楷体_GB2312" w:eastAsia="方正楷体_GB2312" w:cs="方正楷体_GB2312"/>
          <w:kern w:val="2"/>
          <w:sz w:val="32"/>
          <w:szCs w:val="32"/>
          <w:lang w:val="en-US" w:eastAsia="zh-CN" w:bidi="ar-SA"/>
        </w:rPr>
      </w:pPr>
      <w:r>
        <w:rPr>
          <w:rFonts w:hint="eastAsia" w:ascii="方正楷体_GB2312" w:hAnsi="方正楷体_GB2312" w:eastAsia="方正楷体_GB2312" w:cs="方正楷体_GB2312"/>
          <w:kern w:val="2"/>
          <w:sz w:val="32"/>
          <w:szCs w:val="32"/>
          <w:lang w:val="en-US" w:eastAsia="zh-CN" w:bidi="ar-SA"/>
        </w:rPr>
        <w:t>（一）建设“华为（贵阳贵安）数字经济创新中心”</w:t>
      </w:r>
    </w:p>
    <w:p w14:paraId="181C994F">
      <w:pPr>
        <w:pStyle w:val="8"/>
        <w:keepNext w:val="0"/>
        <w:keepLines w:val="0"/>
        <w:pageBreakBefore w:val="0"/>
        <w:widowControl w:val="0"/>
        <w:kinsoku/>
        <w:wordWrap/>
        <w:overflowPunct/>
        <w:topLinePunct w:val="0"/>
        <w:autoSpaceDE/>
        <w:autoSpaceDN/>
        <w:bidi w:val="0"/>
        <w:adjustRightInd/>
        <w:snapToGrid w:val="0"/>
        <w:spacing w:line="546" w:lineRule="exact"/>
        <w:ind w:firstLine="644" w:firstLineChars="200"/>
        <w:jc w:val="lef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充分借助市政府、新区管委会政策资源优势，发挥华为云的品牌、技术及生态资源优势，共同打造“华为（贵阳贵安）数字经济创新中心”，落地贵阳大数据科创城，形成“一三五”的服务构架，即“一个中心（华为〈贵阳贵安〉数字经济创新中心），3+N平台（‘3’即软件开发使能平台、人工智能使能平台、XC服务平台，‘N’即工业互联网、物联网开发、区域链业务等赋能平台），五个职能（技术创新、技术使能、商业使能、成果展示、人才培养）”，建设包括数字产业所需的技术能力、使能平台、生态资源和人才培养在内的一体化公共赋能服务平台。</w:t>
      </w:r>
    </w:p>
    <w:p w14:paraId="6610A53B">
      <w:pPr>
        <w:keepNext w:val="0"/>
        <w:keepLines w:val="0"/>
        <w:pageBreakBefore w:val="0"/>
        <w:widowControl w:val="0"/>
        <w:kinsoku/>
        <w:wordWrap/>
        <w:overflowPunct/>
        <w:topLinePunct w:val="0"/>
        <w:autoSpaceDE/>
        <w:autoSpaceDN/>
        <w:bidi w:val="0"/>
        <w:adjustRightInd/>
        <w:snapToGrid w:val="0"/>
        <w:spacing w:line="546" w:lineRule="exact"/>
        <w:ind w:firstLine="644" w:firstLineChars="200"/>
        <w:jc w:val="left"/>
        <w:textAlignment w:val="auto"/>
        <w:rPr>
          <w:rFonts w:hint="eastAsia" w:ascii="方正楷体_GB2312" w:hAnsi="方正楷体_GB2312" w:eastAsia="方正楷体_GB2312" w:cs="方正楷体_GB2312"/>
          <w:kern w:val="2"/>
          <w:sz w:val="32"/>
          <w:szCs w:val="32"/>
          <w:lang w:val="en-US" w:eastAsia="zh-CN" w:bidi="ar-SA"/>
        </w:rPr>
      </w:pPr>
      <w:r>
        <w:rPr>
          <w:rFonts w:hint="eastAsia" w:ascii="方正楷体_GB2312" w:hAnsi="方正楷体_GB2312" w:eastAsia="方正楷体_GB2312" w:cs="方正楷体_GB2312"/>
          <w:kern w:val="2"/>
          <w:sz w:val="32"/>
          <w:szCs w:val="32"/>
          <w:lang w:val="en-US" w:eastAsia="zh-CN" w:bidi="ar-SA"/>
        </w:rPr>
        <w:t>（二）打造数字经济开放创新生态加速数字化转型升级</w:t>
      </w:r>
    </w:p>
    <w:p w14:paraId="5640FCF4">
      <w:pPr>
        <w:pStyle w:val="8"/>
        <w:keepNext w:val="0"/>
        <w:keepLines w:val="0"/>
        <w:pageBreakBefore w:val="0"/>
        <w:widowControl w:val="0"/>
        <w:kinsoku/>
        <w:wordWrap/>
        <w:overflowPunct/>
        <w:topLinePunct w:val="0"/>
        <w:autoSpaceDE/>
        <w:autoSpaceDN/>
        <w:bidi w:val="0"/>
        <w:adjustRightInd/>
        <w:snapToGrid w:val="0"/>
        <w:spacing w:line="546" w:lineRule="exact"/>
        <w:ind w:firstLine="644" w:firstLineChars="200"/>
        <w:jc w:val="lef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按照强省会“1+7+1”重点产业布局，基于华为云底座，每年向贵阳贵安提供软件服务及相关应用开发的200家以上中小微企业提供基于华为云的开发工具、数字化解决方案及技术赋能服务；为贵阳贵安100家以上企业提供鲲鹏适配技术支持；为50家以上企业提供人工智能技术支持，打造不少于5个标杆项目。</w:t>
      </w:r>
    </w:p>
    <w:p w14:paraId="157B326B">
      <w:pPr>
        <w:keepNext w:val="0"/>
        <w:keepLines w:val="0"/>
        <w:pageBreakBefore w:val="0"/>
        <w:widowControl w:val="0"/>
        <w:kinsoku/>
        <w:wordWrap/>
        <w:overflowPunct/>
        <w:topLinePunct w:val="0"/>
        <w:autoSpaceDE/>
        <w:autoSpaceDN/>
        <w:bidi w:val="0"/>
        <w:adjustRightInd/>
        <w:snapToGrid w:val="0"/>
        <w:spacing w:line="546" w:lineRule="exact"/>
        <w:ind w:firstLine="644" w:firstLineChars="200"/>
        <w:jc w:val="left"/>
        <w:textAlignment w:val="auto"/>
        <w:rPr>
          <w:rFonts w:hint="eastAsia" w:ascii="方正楷体_GB2312" w:hAnsi="方正楷体_GB2312" w:eastAsia="方正楷体_GB2312" w:cs="方正楷体_GB2312"/>
          <w:kern w:val="2"/>
          <w:sz w:val="32"/>
          <w:szCs w:val="32"/>
          <w:lang w:val="en-US" w:eastAsia="zh-CN" w:bidi="ar-SA"/>
        </w:rPr>
      </w:pPr>
      <w:r>
        <w:rPr>
          <w:rFonts w:hint="eastAsia" w:ascii="方正楷体_GB2312" w:hAnsi="方正楷体_GB2312" w:eastAsia="方正楷体_GB2312" w:cs="方正楷体_GB2312"/>
          <w:kern w:val="2"/>
          <w:sz w:val="32"/>
          <w:szCs w:val="32"/>
          <w:lang w:val="en-US" w:eastAsia="zh-CN" w:bidi="ar-SA"/>
        </w:rPr>
        <w:t>（三）开展数字经济人才培养培训</w:t>
      </w:r>
    </w:p>
    <w:p w14:paraId="48C49F43">
      <w:pPr>
        <w:pStyle w:val="8"/>
        <w:keepNext w:val="0"/>
        <w:keepLines w:val="0"/>
        <w:pageBreakBefore w:val="0"/>
        <w:widowControl w:val="0"/>
        <w:kinsoku/>
        <w:wordWrap/>
        <w:overflowPunct/>
        <w:topLinePunct w:val="0"/>
        <w:autoSpaceDE/>
        <w:autoSpaceDN/>
        <w:bidi w:val="0"/>
        <w:adjustRightInd/>
        <w:snapToGrid w:val="0"/>
        <w:spacing w:line="546" w:lineRule="exact"/>
        <w:ind w:firstLine="644" w:firstLineChars="200"/>
        <w:jc w:val="lef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依托华为人才培养课程体系，每年培养信息化人才不少于1200人次，培养专业化的ICT工程师累计不少于1.3万人次，其中：2022年为2000人次、2023年为2500人次、2024年为3500人次、2025年为5000人次。每年举办1场开发者大赛（200—300人参赛）、10场技术沙龙。</w:t>
      </w:r>
    </w:p>
    <w:p w14:paraId="75E655F7">
      <w:pPr>
        <w:keepNext w:val="0"/>
        <w:keepLines w:val="0"/>
        <w:pageBreakBefore w:val="0"/>
        <w:widowControl w:val="0"/>
        <w:kinsoku/>
        <w:wordWrap/>
        <w:overflowPunct/>
        <w:topLinePunct w:val="0"/>
        <w:autoSpaceDE/>
        <w:autoSpaceDN/>
        <w:bidi w:val="0"/>
        <w:adjustRightInd/>
        <w:snapToGrid w:val="0"/>
        <w:spacing w:line="546" w:lineRule="exact"/>
        <w:ind w:firstLine="644" w:firstLineChars="200"/>
        <w:jc w:val="left"/>
        <w:textAlignment w:val="auto"/>
        <w:rPr>
          <w:rFonts w:hint="eastAsia" w:ascii="方正楷体_GB2312" w:hAnsi="方正楷体_GB2312" w:eastAsia="方正楷体_GB2312" w:cs="方正楷体_GB2312"/>
          <w:kern w:val="2"/>
          <w:sz w:val="32"/>
          <w:szCs w:val="32"/>
          <w:lang w:val="en-US" w:eastAsia="zh-CN" w:bidi="ar-SA"/>
        </w:rPr>
      </w:pPr>
      <w:r>
        <w:rPr>
          <w:rFonts w:hint="eastAsia" w:ascii="方正楷体_GB2312" w:hAnsi="方正楷体_GB2312" w:eastAsia="方正楷体_GB2312" w:cs="方正楷体_GB2312"/>
          <w:kern w:val="2"/>
          <w:sz w:val="32"/>
          <w:szCs w:val="32"/>
          <w:lang w:val="en-US" w:eastAsia="zh-CN" w:bidi="ar-SA"/>
        </w:rPr>
        <w:t>（四）建设数字经济创新成果展示交流平台</w:t>
      </w:r>
    </w:p>
    <w:p w14:paraId="3BB45CFE">
      <w:pPr>
        <w:pStyle w:val="8"/>
        <w:keepNext w:val="0"/>
        <w:keepLines w:val="0"/>
        <w:pageBreakBefore w:val="0"/>
        <w:widowControl w:val="0"/>
        <w:kinsoku/>
        <w:wordWrap/>
        <w:overflowPunct/>
        <w:topLinePunct w:val="0"/>
        <w:autoSpaceDE/>
        <w:autoSpaceDN/>
        <w:bidi w:val="0"/>
        <w:adjustRightInd/>
        <w:snapToGrid w:val="0"/>
        <w:spacing w:line="546" w:lineRule="exact"/>
        <w:ind w:firstLine="644" w:firstLineChars="200"/>
        <w:jc w:val="lef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在贵阳大数据科创城建设“华为（贵阳贵安）数字经济创新中心”成果展示中心，通过应用场景标杆示范、企业成果、使用案例等展示，积极推介贵阳贵安数字经济产业政策及成功经验。组织开展产业发展论坛、华为城市峰会等活动推动行业间互动，形成具有全国影响力的数字经济创新生态。</w:t>
      </w:r>
    </w:p>
    <w:p w14:paraId="0B07F4B9">
      <w:pPr>
        <w:keepNext w:val="0"/>
        <w:keepLines w:val="0"/>
        <w:pageBreakBefore w:val="0"/>
        <w:widowControl w:val="0"/>
        <w:numPr>
          <w:ilvl w:val="0"/>
          <w:numId w:val="0"/>
        </w:numPr>
        <w:kinsoku/>
        <w:wordWrap/>
        <w:overflowPunct/>
        <w:topLinePunct w:val="0"/>
        <w:autoSpaceDE/>
        <w:autoSpaceDN/>
        <w:bidi w:val="0"/>
        <w:adjustRightInd/>
        <w:snapToGrid w:val="0"/>
        <w:spacing w:line="546" w:lineRule="exact"/>
        <w:ind w:firstLine="644" w:firstLineChars="200"/>
        <w:jc w:val="left"/>
        <w:textAlignment w:val="auto"/>
        <w:rPr>
          <w:rFonts w:ascii="黑体" w:hAnsi="黑体" w:eastAsia="黑体"/>
          <w:sz w:val="32"/>
          <w:szCs w:val="32"/>
        </w:rPr>
      </w:pPr>
      <w:r>
        <w:rPr>
          <w:rFonts w:hint="eastAsia" w:ascii="黑体" w:hAnsi="黑体" w:eastAsia="黑体"/>
          <w:sz w:val="32"/>
          <w:szCs w:val="32"/>
          <w:lang w:val="en-US" w:eastAsia="zh-CN"/>
        </w:rPr>
        <w:t>二、</w:t>
      </w:r>
      <w:r>
        <w:rPr>
          <w:rFonts w:hint="eastAsia" w:ascii="黑体" w:hAnsi="黑体" w:eastAsia="黑体"/>
          <w:sz w:val="32"/>
          <w:szCs w:val="32"/>
        </w:rPr>
        <w:t>立项依据</w:t>
      </w:r>
    </w:p>
    <w:p w14:paraId="68B38064">
      <w:pPr>
        <w:pStyle w:val="8"/>
        <w:keepNext w:val="0"/>
        <w:keepLines w:val="0"/>
        <w:pageBreakBefore w:val="0"/>
        <w:widowControl w:val="0"/>
        <w:kinsoku/>
        <w:wordWrap/>
        <w:overflowPunct/>
        <w:topLinePunct w:val="0"/>
        <w:autoSpaceDE/>
        <w:autoSpaceDN/>
        <w:bidi w:val="0"/>
        <w:adjustRightInd/>
        <w:snapToGrid w:val="0"/>
        <w:spacing w:line="546" w:lineRule="exact"/>
        <w:ind w:firstLine="644" w:firstLineChars="200"/>
        <w:jc w:val="lef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《华为（贵阳贵安）数字经济创新中心项目战略合作协议》《华为（贵阳贵安）数字经济创新中心项目共建合作协议》及变更协议。</w:t>
      </w:r>
    </w:p>
    <w:p w14:paraId="722A7EF6">
      <w:pPr>
        <w:keepNext w:val="0"/>
        <w:keepLines w:val="0"/>
        <w:pageBreakBefore w:val="0"/>
        <w:widowControl w:val="0"/>
        <w:kinsoku/>
        <w:wordWrap/>
        <w:overflowPunct/>
        <w:topLinePunct w:val="0"/>
        <w:autoSpaceDE/>
        <w:autoSpaceDN/>
        <w:bidi w:val="0"/>
        <w:adjustRightInd/>
        <w:snapToGrid w:val="0"/>
        <w:spacing w:line="546" w:lineRule="exact"/>
        <w:ind w:firstLine="644" w:firstLineChars="200"/>
        <w:jc w:val="left"/>
        <w:textAlignment w:val="auto"/>
        <w:rPr>
          <w:rFonts w:ascii="黑体" w:hAnsi="黑体" w:eastAsia="黑体"/>
          <w:sz w:val="32"/>
          <w:szCs w:val="32"/>
        </w:rPr>
      </w:pPr>
      <w:r>
        <w:rPr>
          <w:rFonts w:hint="eastAsia" w:ascii="黑体" w:hAnsi="黑体" w:eastAsia="黑体"/>
          <w:sz w:val="32"/>
          <w:szCs w:val="32"/>
        </w:rPr>
        <w:t>三、实施主体</w:t>
      </w:r>
    </w:p>
    <w:p w14:paraId="3544E8B4">
      <w:pPr>
        <w:keepNext w:val="0"/>
        <w:keepLines w:val="0"/>
        <w:pageBreakBefore w:val="0"/>
        <w:widowControl w:val="0"/>
        <w:kinsoku/>
        <w:wordWrap/>
        <w:overflowPunct/>
        <w:topLinePunct w:val="0"/>
        <w:autoSpaceDE/>
        <w:autoSpaceDN/>
        <w:bidi w:val="0"/>
        <w:adjustRightInd/>
        <w:snapToGrid w:val="0"/>
        <w:spacing w:line="546" w:lineRule="exact"/>
        <w:ind w:firstLine="644" w:firstLineChars="200"/>
        <w:jc w:val="left"/>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贵州贵安新区管理委员会投资促进局。</w:t>
      </w:r>
    </w:p>
    <w:p w14:paraId="2D199B57">
      <w:pPr>
        <w:keepNext w:val="0"/>
        <w:keepLines w:val="0"/>
        <w:pageBreakBefore w:val="0"/>
        <w:widowControl w:val="0"/>
        <w:kinsoku/>
        <w:wordWrap/>
        <w:overflowPunct/>
        <w:topLinePunct w:val="0"/>
        <w:autoSpaceDE/>
        <w:autoSpaceDN/>
        <w:bidi w:val="0"/>
        <w:adjustRightInd/>
        <w:snapToGrid w:val="0"/>
        <w:spacing w:line="546" w:lineRule="exact"/>
        <w:ind w:firstLine="644" w:firstLineChars="200"/>
        <w:jc w:val="left"/>
        <w:textAlignment w:val="auto"/>
        <w:rPr>
          <w:rFonts w:ascii="黑体" w:hAnsi="黑体" w:eastAsia="黑体"/>
          <w:sz w:val="32"/>
          <w:szCs w:val="32"/>
        </w:rPr>
      </w:pPr>
      <w:r>
        <w:rPr>
          <w:rFonts w:hint="eastAsia" w:ascii="黑体" w:hAnsi="黑体" w:eastAsia="黑体"/>
          <w:sz w:val="32"/>
          <w:szCs w:val="32"/>
        </w:rPr>
        <w:t>四、实施方案</w:t>
      </w:r>
    </w:p>
    <w:p w14:paraId="26042823">
      <w:pPr>
        <w:keepNext w:val="0"/>
        <w:keepLines w:val="0"/>
        <w:pageBreakBefore w:val="0"/>
        <w:widowControl w:val="0"/>
        <w:kinsoku/>
        <w:wordWrap/>
        <w:overflowPunct/>
        <w:topLinePunct w:val="0"/>
        <w:autoSpaceDE/>
        <w:autoSpaceDN/>
        <w:bidi w:val="0"/>
        <w:adjustRightInd/>
        <w:snapToGrid w:val="0"/>
        <w:spacing w:line="546" w:lineRule="exact"/>
        <w:ind w:firstLine="644" w:firstLineChars="200"/>
        <w:jc w:val="left"/>
        <w:textAlignment w:val="auto"/>
        <w:rPr>
          <w:rFonts w:hint="eastAsia" w:ascii="楷体_GB2312" w:eastAsia="楷体_GB2312"/>
          <w:sz w:val="32"/>
          <w:szCs w:val="32"/>
        </w:rPr>
      </w:pPr>
      <w:r>
        <w:rPr>
          <w:rFonts w:hint="eastAsia" w:ascii="楷体_GB2312" w:eastAsia="楷体_GB2312"/>
          <w:sz w:val="32"/>
          <w:szCs w:val="32"/>
        </w:rPr>
        <w:t>（一）项目可行性</w:t>
      </w:r>
    </w:p>
    <w:p w14:paraId="6F4CA927">
      <w:pPr>
        <w:pStyle w:val="8"/>
        <w:keepNext w:val="0"/>
        <w:keepLines w:val="0"/>
        <w:pageBreakBefore w:val="0"/>
        <w:widowControl w:val="0"/>
        <w:kinsoku/>
        <w:wordWrap/>
        <w:overflowPunct/>
        <w:topLinePunct w:val="0"/>
        <w:autoSpaceDE/>
        <w:autoSpaceDN/>
        <w:bidi w:val="0"/>
        <w:adjustRightInd/>
        <w:snapToGrid w:val="0"/>
        <w:spacing w:line="546" w:lineRule="exact"/>
        <w:ind w:firstLine="644" w:firstLineChars="200"/>
        <w:jc w:val="lef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强大的技术实力、技术创新与应用能力：华为作为全球领先的信息与通信技术解决方案供应商，在品牌知名度、技术实力、产品质量、服务水平等方面具有显著的竞争优势。凭借其强大的市场影响力和客户资源，能够快速打开市场，吸引更多的客户和合作伙伴加入到数字经济创新中心的生态系统中来。同时，华为还能够不断创新和优化自身的产品和服务，提升市场竞争力，保持在数字经济领域的领先地位。</w:t>
      </w:r>
    </w:p>
    <w:p w14:paraId="54DFD57B">
      <w:pPr>
        <w:pStyle w:val="8"/>
        <w:keepNext w:val="0"/>
        <w:keepLines w:val="0"/>
        <w:pageBreakBefore w:val="0"/>
        <w:widowControl w:val="0"/>
        <w:kinsoku/>
        <w:wordWrap/>
        <w:overflowPunct/>
        <w:topLinePunct w:val="0"/>
        <w:autoSpaceDE/>
        <w:autoSpaceDN/>
        <w:bidi w:val="0"/>
        <w:adjustRightInd/>
        <w:snapToGrid w:val="0"/>
        <w:spacing w:line="546" w:lineRule="exact"/>
        <w:ind w:firstLine="644" w:firstLineChars="200"/>
        <w:jc w:val="lef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技术合作与生态构建能力：华为积极与高校、科研机构、合作伙伴等开展广泛的技术合作，共同开展前沿技术研究和应用创新。通过建立产学研合作机制，能够及时获取最新的科研成果，并将其转化为实际生产力，加速数字经济创新中心的技术迭代和发展。同时，华为还能够整合产业链上下游资源，构建完善的数字经济生态系统，促进各方的协同发展。</w:t>
      </w:r>
    </w:p>
    <w:p w14:paraId="61C2B8FD">
      <w:pPr>
        <w:pStyle w:val="8"/>
        <w:keepNext w:val="0"/>
        <w:keepLines w:val="0"/>
        <w:pageBreakBefore w:val="0"/>
        <w:widowControl w:val="0"/>
        <w:kinsoku/>
        <w:wordWrap/>
        <w:overflowPunct/>
        <w:topLinePunct w:val="0"/>
        <w:autoSpaceDE/>
        <w:autoSpaceDN/>
        <w:bidi w:val="0"/>
        <w:adjustRightInd/>
        <w:snapToGrid w:val="0"/>
        <w:spacing w:line="546" w:lineRule="exact"/>
        <w:ind w:firstLine="644" w:firstLineChars="200"/>
        <w:jc w:val="lef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市场可行性：随着全球经济的数字化转型加速，数字经济市场呈现出爆发式增长的态势。企业为了提升竞争力，纷纷加快数字化转型的步伐，对数字技术、数字产品和数字服务的需求日益旺盛。政府也在积极推动数字政府建设，提高政务服务的效率和质量。此外，个人消费者对于数字化生活的需求也在不断增加，如在线教育、远程医疗、数字娱乐等。华为数字经济创新中心项目能够满足市场需求，具有广阔的市场空间。</w:t>
      </w:r>
    </w:p>
    <w:p w14:paraId="199E0B06">
      <w:pPr>
        <w:pStyle w:val="8"/>
        <w:keepNext w:val="0"/>
        <w:keepLines w:val="0"/>
        <w:pageBreakBefore w:val="0"/>
        <w:widowControl w:val="0"/>
        <w:kinsoku/>
        <w:wordWrap/>
        <w:overflowPunct/>
        <w:topLinePunct w:val="0"/>
        <w:autoSpaceDE/>
        <w:autoSpaceDN/>
        <w:bidi w:val="0"/>
        <w:adjustRightInd/>
        <w:snapToGrid w:val="0"/>
        <w:spacing w:line="546" w:lineRule="exact"/>
        <w:ind w:firstLine="644" w:firstLineChars="200"/>
        <w:jc w:val="lef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市场拓展潜力：数字经济的发展具有很强的辐射带动效应，不仅能够促进本地经济的发展，还能够带动周边地区和相关产业的协同发展。华为数字经济创新中心项目可以依托华为的全球布局和资源优势，将业务拓展到更广泛的区域和领域，实现市场的多元化发展，进一步提升项目的市场价值和影响力。</w:t>
      </w:r>
    </w:p>
    <w:p w14:paraId="55B114B6">
      <w:pPr>
        <w:keepNext w:val="0"/>
        <w:keepLines w:val="0"/>
        <w:pageBreakBefore w:val="0"/>
        <w:widowControl w:val="0"/>
        <w:numPr>
          <w:ilvl w:val="0"/>
          <w:numId w:val="0"/>
        </w:numPr>
        <w:kinsoku/>
        <w:wordWrap/>
        <w:overflowPunct/>
        <w:topLinePunct w:val="0"/>
        <w:autoSpaceDE/>
        <w:autoSpaceDN/>
        <w:bidi w:val="0"/>
        <w:adjustRightInd/>
        <w:snapToGrid w:val="0"/>
        <w:spacing w:line="546" w:lineRule="exact"/>
        <w:ind w:left="644" w:leftChars="0"/>
        <w:jc w:val="left"/>
        <w:textAlignment w:val="auto"/>
        <w:rPr>
          <w:rFonts w:ascii="楷体_GB2312" w:eastAsia="楷体_GB2312"/>
          <w:sz w:val="32"/>
          <w:szCs w:val="32"/>
        </w:rPr>
      </w:pPr>
      <w:r>
        <w:rPr>
          <w:rFonts w:hint="eastAsia" w:ascii="楷体_GB2312" w:eastAsia="楷体_GB2312"/>
          <w:sz w:val="32"/>
          <w:szCs w:val="32"/>
          <w:lang w:eastAsia="zh-CN"/>
        </w:rPr>
        <w:t>（二）</w:t>
      </w:r>
      <w:r>
        <w:rPr>
          <w:rFonts w:ascii="楷体_GB2312" w:eastAsia="楷体_GB2312"/>
          <w:sz w:val="32"/>
          <w:szCs w:val="32"/>
        </w:rPr>
        <w:t>总体思路</w:t>
      </w:r>
    </w:p>
    <w:p w14:paraId="7222A695">
      <w:pPr>
        <w:pStyle w:val="8"/>
        <w:keepNext w:val="0"/>
        <w:keepLines w:val="0"/>
        <w:pageBreakBefore w:val="0"/>
        <w:widowControl w:val="0"/>
        <w:kinsoku/>
        <w:wordWrap/>
        <w:overflowPunct/>
        <w:topLinePunct w:val="0"/>
        <w:autoSpaceDE/>
        <w:autoSpaceDN/>
        <w:bidi w:val="0"/>
        <w:adjustRightInd/>
        <w:snapToGrid w:val="0"/>
        <w:spacing w:line="546" w:lineRule="exact"/>
        <w:ind w:firstLine="644" w:firstLineChars="200"/>
        <w:jc w:val="lef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华为云提供技术能力、场景化解决方案、专业服务团队，导入生态伙伴资源，贵阳贵安提供产业政策及资金支持，双方发挥各自优势，共建华为（贵阳贵安）数字经济创新中心，为数字经济产业发展、企业数字化转型升级、自主可控生态发展、数字经济人才培养等提供服务。</w:t>
      </w:r>
    </w:p>
    <w:p w14:paraId="23780EE9">
      <w:pPr>
        <w:keepNext w:val="0"/>
        <w:keepLines w:val="0"/>
        <w:pageBreakBefore w:val="0"/>
        <w:widowControl w:val="0"/>
        <w:numPr>
          <w:ilvl w:val="0"/>
          <w:numId w:val="0"/>
        </w:numPr>
        <w:kinsoku/>
        <w:wordWrap/>
        <w:overflowPunct/>
        <w:topLinePunct w:val="0"/>
        <w:autoSpaceDE/>
        <w:autoSpaceDN/>
        <w:bidi w:val="0"/>
        <w:adjustRightInd/>
        <w:snapToGrid w:val="0"/>
        <w:spacing w:line="546" w:lineRule="exact"/>
        <w:ind w:left="644" w:leftChars="0"/>
        <w:jc w:val="left"/>
        <w:textAlignment w:val="auto"/>
        <w:rPr>
          <w:rFonts w:hint="eastAsia" w:ascii="楷体_GB2312" w:eastAsia="楷体_GB2312"/>
          <w:sz w:val="32"/>
          <w:szCs w:val="32"/>
        </w:rPr>
      </w:pPr>
      <w:r>
        <w:rPr>
          <w:rFonts w:hint="eastAsia" w:ascii="楷体_GB2312" w:eastAsia="楷体_GB2312"/>
          <w:sz w:val="32"/>
          <w:szCs w:val="32"/>
          <w:lang w:eastAsia="zh-CN"/>
        </w:rPr>
        <w:t>（三）</w:t>
      </w:r>
      <w:r>
        <w:rPr>
          <w:rFonts w:ascii="楷体_GB2312" w:eastAsia="楷体_GB2312"/>
          <w:sz w:val="32"/>
          <w:szCs w:val="32"/>
        </w:rPr>
        <w:t>实施方式</w:t>
      </w:r>
    </w:p>
    <w:p w14:paraId="0E254A16">
      <w:pPr>
        <w:pStyle w:val="8"/>
        <w:keepNext w:val="0"/>
        <w:keepLines w:val="0"/>
        <w:pageBreakBefore w:val="0"/>
        <w:widowControl w:val="0"/>
        <w:kinsoku/>
        <w:wordWrap/>
        <w:overflowPunct/>
        <w:topLinePunct w:val="0"/>
        <w:autoSpaceDE/>
        <w:autoSpaceDN/>
        <w:bidi w:val="0"/>
        <w:adjustRightInd/>
        <w:snapToGrid w:val="0"/>
        <w:spacing w:line="546" w:lineRule="exact"/>
        <w:ind w:firstLine="644" w:firstLineChars="200"/>
        <w:jc w:val="lef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按照《华为（贵阳贵安）数字经济创新中心项目战略合作协议》完成数字化转型和软件生态赋能服务、XC自主可控适配服务、人才培养、品牌推广等方面建设目标并通过考核验收后，由新区按照项目协议约定兑现产业扶持资金。</w:t>
      </w:r>
    </w:p>
    <w:p w14:paraId="7FCA0646">
      <w:pPr>
        <w:keepNext w:val="0"/>
        <w:keepLines w:val="0"/>
        <w:pageBreakBefore w:val="0"/>
        <w:widowControl w:val="0"/>
        <w:numPr>
          <w:ilvl w:val="0"/>
          <w:numId w:val="0"/>
        </w:numPr>
        <w:kinsoku/>
        <w:wordWrap/>
        <w:overflowPunct/>
        <w:topLinePunct w:val="0"/>
        <w:autoSpaceDE/>
        <w:autoSpaceDN/>
        <w:bidi w:val="0"/>
        <w:adjustRightInd/>
        <w:spacing w:line="546" w:lineRule="exact"/>
        <w:ind w:left="644" w:leftChars="0"/>
        <w:jc w:val="left"/>
        <w:textAlignment w:val="auto"/>
        <w:rPr>
          <w:rFonts w:ascii="楷体_GB2312" w:eastAsia="楷体_GB2312"/>
          <w:sz w:val="32"/>
          <w:szCs w:val="32"/>
        </w:rPr>
      </w:pPr>
      <w:r>
        <w:rPr>
          <w:rFonts w:hint="eastAsia" w:ascii="楷体_GB2312" w:eastAsia="楷体_GB2312"/>
          <w:sz w:val="32"/>
          <w:szCs w:val="32"/>
          <w:lang w:eastAsia="zh-CN"/>
        </w:rPr>
        <w:t>（四）</w:t>
      </w:r>
      <w:r>
        <w:rPr>
          <w:rFonts w:ascii="楷体_GB2312" w:eastAsia="楷体_GB2312"/>
          <w:sz w:val="32"/>
          <w:szCs w:val="32"/>
        </w:rPr>
        <w:t>进度安排及阶段目标</w:t>
      </w:r>
    </w:p>
    <w:p w14:paraId="0301AC54">
      <w:pPr>
        <w:pStyle w:val="8"/>
        <w:keepNext w:val="0"/>
        <w:keepLines w:val="0"/>
        <w:pageBreakBefore w:val="0"/>
        <w:widowControl w:val="0"/>
        <w:kinsoku/>
        <w:wordWrap/>
        <w:overflowPunct/>
        <w:topLinePunct w:val="0"/>
        <w:autoSpaceDE/>
        <w:autoSpaceDN/>
        <w:bidi w:val="0"/>
        <w:adjustRightInd/>
        <w:spacing w:line="546" w:lineRule="exact"/>
        <w:ind w:firstLine="644" w:firstLineChars="200"/>
        <w:jc w:val="lef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在项目建设期内（2022年6月—2025年6月），每年向贵阳贵安软件服务及相关应用开发的200家以上中小微企业提供基于华为云的开发工具、数字化解决方案及技术赋能服务；每年为贵阳贵安100家以上企业提供鲲鹏适配技术支持；每年为50家以上企业提供人工智能技术支持，每年打造不少于5个标杆项目。并依托华为人才培养课程体系，为贵州培养信息化人才超5000人次，每年培养信息化人才不少于1200人次；在贵州培养专业化的ICT工程师累计不少于1.3万人次，其中：2022年为2000人次、2023年为2500人次、2024年为3500人次、2025年为5000人次；每年举办1场开发者大赛（200—300人参赛）、10场技术沙龙。</w:t>
      </w:r>
    </w:p>
    <w:tbl>
      <w:tblPr>
        <w:tblStyle w:val="10"/>
        <w:tblW w:w="13252" w:type="dxa"/>
        <w:jc w:val="center"/>
        <w:tblLayout w:type="fixed"/>
        <w:tblCellMar>
          <w:top w:w="0" w:type="dxa"/>
          <w:left w:w="108" w:type="dxa"/>
          <w:bottom w:w="0" w:type="dxa"/>
          <w:right w:w="108" w:type="dxa"/>
        </w:tblCellMar>
      </w:tblPr>
      <w:tblGrid>
        <w:gridCol w:w="1874"/>
        <w:gridCol w:w="8565"/>
        <w:gridCol w:w="2813"/>
      </w:tblGrid>
      <w:tr w14:paraId="1D53E570">
        <w:tblPrEx>
          <w:tblCellMar>
            <w:top w:w="0" w:type="dxa"/>
            <w:left w:w="108" w:type="dxa"/>
            <w:bottom w:w="0" w:type="dxa"/>
            <w:right w:w="108" w:type="dxa"/>
          </w:tblCellMar>
        </w:tblPrEx>
        <w:trPr>
          <w:trHeight w:val="740" w:hRule="atLeast"/>
          <w:tblHeader/>
          <w:jc w:val="center"/>
        </w:trPr>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14:paraId="0E780EF8">
            <w:pPr>
              <w:widowControl/>
              <w:jc w:val="center"/>
              <w:rPr>
                <w:rFonts w:hint="eastAsia" w:ascii="宋体" w:hAnsi="宋体" w:eastAsia="宋体" w:cs="宋体"/>
                <w:b/>
                <w:color w:val="auto"/>
                <w:kern w:val="0"/>
                <w:sz w:val="20"/>
                <w:szCs w:val="20"/>
                <w:shd w:val="clear" w:color="auto" w:fill="auto"/>
              </w:rPr>
            </w:pPr>
            <w:r>
              <w:rPr>
                <w:rFonts w:hint="eastAsia" w:ascii="宋体" w:hAnsi="宋体" w:eastAsia="宋体" w:cs="宋体"/>
                <w:b/>
                <w:color w:val="auto"/>
                <w:kern w:val="0"/>
                <w:sz w:val="20"/>
                <w:szCs w:val="20"/>
                <w:shd w:val="clear" w:color="auto" w:fill="auto"/>
              </w:rPr>
              <w:t>服务项目</w:t>
            </w:r>
          </w:p>
        </w:tc>
        <w:tc>
          <w:tcPr>
            <w:tcW w:w="8565" w:type="dxa"/>
            <w:tcBorders>
              <w:top w:val="single" w:color="auto" w:sz="4" w:space="0"/>
              <w:left w:val="single" w:color="auto" w:sz="4" w:space="0"/>
              <w:bottom w:val="single" w:color="auto" w:sz="4" w:space="0"/>
              <w:right w:val="single" w:color="auto" w:sz="4" w:space="0"/>
            </w:tcBorders>
            <w:shd w:val="clear" w:color="auto" w:fill="auto"/>
            <w:vAlign w:val="center"/>
          </w:tcPr>
          <w:p w14:paraId="1B100775">
            <w:pPr>
              <w:widowControl/>
              <w:jc w:val="center"/>
              <w:rPr>
                <w:rFonts w:hint="eastAsia" w:ascii="宋体" w:hAnsi="宋体" w:eastAsia="宋体" w:cs="宋体"/>
                <w:b/>
                <w:color w:val="auto"/>
                <w:kern w:val="0"/>
                <w:sz w:val="20"/>
                <w:szCs w:val="20"/>
                <w:shd w:val="clear" w:color="auto" w:fill="auto"/>
              </w:rPr>
            </w:pPr>
            <w:r>
              <w:rPr>
                <w:rFonts w:hint="eastAsia" w:ascii="宋体" w:hAnsi="宋体" w:eastAsia="宋体" w:cs="宋体"/>
                <w:b/>
                <w:color w:val="auto"/>
                <w:kern w:val="0"/>
                <w:sz w:val="20"/>
                <w:szCs w:val="20"/>
                <w:shd w:val="clear" w:color="auto" w:fill="auto"/>
              </w:rPr>
              <w:t>服务方式</w:t>
            </w:r>
          </w:p>
        </w:tc>
        <w:tc>
          <w:tcPr>
            <w:tcW w:w="2813" w:type="dxa"/>
            <w:tcBorders>
              <w:top w:val="single" w:color="auto" w:sz="4" w:space="0"/>
              <w:left w:val="single" w:color="auto" w:sz="4" w:space="0"/>
              <w:bottom w:val="single" w:color="auto" w:sz="4" w:space="0"/>
              <w:right w:val="single" w:color="auto" w:sz="4" w:space="0"/>
            </w:tcBorders>
            <w:shd w:val="clear" w:color="auto" w:fill="auto"/>
            <w:vAlign w:val="center"/>
          </w:tcPr>
          <w:p w14:paraId="07746830">
            <w:pPr>
              <w:widowControl/>
              <w:jc w:val="center"/>
              <w:rPr>
                <w:rFonts w:hint="eastAsia" w:ascii="宋体" w:hAnsi="宋体" w:eastAsia="宋体" w:cs="宋体"/>
                <w:b/>
                <w:color w:val="auto"/>
                <w:kern w:val="0"/>
                <w:sz w:val="20"/>
                <w:szCs w:val="20"/>
                <w:shd w:val="clear" w:color="auto" w:fill="auto"/>
              </w:rPr>
            </w:pPr>
            <w:r>
              <w:rPr>
                <w:rFonts w:hint="eastAsia" w:ascii="宋体" w:hAnsi="宋体" w:eastAsia="宋体" w:cs="宋体"/>
                <w:b/>
                <w:color w:val="auto"/>
                <w:kern w:val="0"/>
                <w:sz w:val="20"/>
                <w:szCs w:val="20"/>
                <w:shd w:val="clear" w:color="auto" w:fill="auto"/>
              </w:rPr>
              <w:t>年度服务目标</w:t>
            </w:r>
          </w:p>
        </w:tc>
      </w:tr>
      <w:tr w14:paraId="2F292705">
        <w:tblPrEx>
          <w:tblCellMar>
            <w:top w:w="0" w:type="dxa"/>
            <w:left w:w="108" w:type="dxa"/>
            <w:bottom w:w="0" w:type="dxa"/>
            <w:right w:w="108" w:type="dxa"/>
          </w:tblCellMar>
        </w:tblPrEx>
        <w:trPr>
          <w:trHeight w:val="917" w:hRule="atLeast"/>
          <w:jc w:val="center"/>
        </w:trPr>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14:paraId="106E083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数字经济场景化解决方案专项服务</w:t>
            </w:r>
          </w:p>
        </w:tc>
        <w:tc>
          <w:tcPr>
            <w:tcW w:w="8565" w:type="dxa"/>
            <w:tcBorders>
              <w:top w:val="single" w:color="auto" w:sz="4" w:space="0"/>
              <w:left w:val="single" w:color="auto" w:sz="4" w:space="0"/>
              <w:bottom w:val="single" w:color="auto" w:sz="4" w:space="0"/>
              <w:right w:val="single" w:color="auto" w:sz="4" w:space="0"/>
            </w:tcBorders>
            <w:shd w:val="clear" w:color="auto" w:fill="auto"/>
            <w:vAlign w:val="center"/>
          </w:tcPr>
          <w:p w14:paraId="26A0FF82">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kern w:val="0"/>
                <w:sz w:val="20"/>
                <w:szCs w:val="20"/>
                <w:lang w:eastAsia="zh-CN"/>
              </w:rPr>
            </w:pPr>
            <w:r>
              <w:rPr>
                <w:rFonts w:hint="eastAsia" w:ascii="宋体" w:hAnsi="宋体" w:eastAsia="宋体" w:cs="宋体"/>
                <w:kern w:val="0"/>
                <w:sz w:val="20"/>
                <w:szCs w:val="20"/>
              </w:rPr>
              <w:t>在服务贵阳贵安企业的基础上形成一批可复制、可推广的解决方案，提升贵阳贵安企业的数字化水平，切实助力企业实现提质降本增效</w:t>
            </w:r>
            <w:r>
              <w:rPr>
                <w:rFonts w:hint="eastAsia" w:ascii="宋体" w:hAnsi="宋体" w:cs="宋体"/>
                <w:kern w:val="0"/>
                <w:sz w:val="20"/>
                <w:szCs w:val="20"/>
                <w:lang w:eastAsia="zh-CN"/>
              </w:rPr>
              <w:t>。</w:t>
            </w:r>
          </w:p>
        </w:tc>
        <w:tc>
          <w:tcPr>
            <w:tcW w:w="2813" w:type="dxa"/>
            <w:tcBorders>
              <w:top w:val="single" w:color="auto" w:sz="4" w:space="0"/>
              <w:left w:val="single" w:color="auto" w:sz="4" w:space="0"/>
              <w:bottom w:val="single" w:color="auto" w:sz="4" w:space="0"/>
              <w:right w:val="single" w:color="auto" w:sz="4" w:space="0"/>
            </w:tcBorders>
            <w:shd w:val="clear" w:color="auto" w:fill="auto"/>
            <w:vAlign w:val="center"/>
          </w:tcPr>
          <w:p w14:paraId="75D556E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5个场景化应用</w:t>
            </w:r>
          </w:p>
        </w:tc>
      </w:tr>
      <w:tr w14:paraId="3206D2FB">
        <w:tblPrEx>
          <w:tblCellMar>
            <w:top w:w="0" w:type="dxa"/>
            <w:left w:w="108" w:type="dxa"/>
            <w:bottom w:w="0" w:type="dxa"/>
            <w:right w:w="108" w:type="dxa"/>
          </w:tblCellMar>
        </w:tblPrEx>
        <w:trPr>
          <w:trHeight w:val="622" w:hRule="atLeast"/>
          <w:jc w:val="center"/>
        </w:trPr>
        <w:tc>
          <w:tcPr>
            <w:tcW w:w="187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AE3F66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数字化转型和软件生态赋能服务</w:t>
            </w:r>
          </w:p>
        </w:tc>
        <w:tc>
          <w:tcPr>
            <w:tcW w:w="856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A00ADE4">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kern w:val="0"/>
                <w:sz w:val="20"/>
                <w:szCs w:val="20"/>
                <w:lang w:eastAsia="zh-CN"/>
              </w:rPr>
            </w:pPr>
            <w:r>
              <w:rPr>
                <w:rFonts w:hint="eastAsia" w:ascii="宋体" w:hAnsi="宋体" w:eastAsia="宋体" w:cs="宋体"/>
                <w:kern w:val="0"/>
                <w:sz w:val="20"/>
                <w:szCs w:val="20"/>
              </w:rPr>
              <w:t>配合贵阳贵安各主管部门，做好工业企业两化融合发展工作。深入开展数字化诊断服务，加速推进企业实施研发、生产、管理、仓储等全生产链的信息化改造</w:t>
            </w:r>
            <w:r>
              <w:rPr>
                <w:rFonts w:hint="eastAsia" w:ascii="宋体" w:hAnsi="宋体" w:cs="宋体"/>
                <w:kern w:val="0"/>
                <w:sz w:val="20"/>
                <w:szCs w:val="20"/>
                <w:lang w:eastAsia="zh-CN"/>
              </w:rPr>
              <w:t>。</w:t>
            </w:r>
          </w:p>
        </w:tc>
        <w:tc>
          <w:tcPr>
            <w:tcW w:w="2813" w:type="dxa"/>
            <w:tcBorders>
              <w:top w:val="single" w:color="auto" w:sz="4" w:space="0"/>
              <w:left w:val="single" w:color="auto" w:sz="4" w:space="0"/>
              <w:bottom w:val="single" w:color="auto" w:sz="4" w:space="0"/>
              <w:right w:val="single" w:color="auto" w:sz="4" w:space="0"/>
            </w:tcBorders>
            <w:shd w:val="clear" w:color="auto" w:fill="auto"/>
            <w:vAlign w:val="center"/>
          </w:tcPr>
          <w:p w14:paraId="6B571E00">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服务200家企业</w:t>
            </w:r>
          </w:p>
        </w:tc>
      </w:tr>
      <w:tr w14:paraId="3EA05AE6">
        <w:tblPrEx>
          <w:tblCellMar>
            <w:top w:w="0" w:type="dxa"/>
            <w:left w:w="108" w:type="dxa"/>
            <w:bottom w:w="0" w:type="dxa"/>
            <w:right w:w="108" w:type="dxa"/>
          </w:tblCellMar>
        </w:tblPrEx>
        <w:trPr>
          <w:trHeight w:val="449" w:hRule="atLeast"/>
          <w:jc w:val="center"/>
        </w:trPr>
        <w:tc>
          <w:tcPr>
            <w:tcW w:w="187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5B99989">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kern w:val="0"/>
                <w:sz w:val="20"/>
                <w:szCs w:val="20"/>
              </w:rPr>
            </w:pPr>
          </w:p>
        </w:tc>
        <w:tc>
          <w:tcPr>
            <w:tcW w:w="85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FBDC5F6">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kern w:val="0"/>
                <w:sz w:val="20"/>
                <w:szCs w:val="20"/>
              </w:rPr>
            </w:pPr>
          </w:p>
        </w:tc>
        <w:tc>
          <w:tcPr>
            <w:tcW w:w="2813" w:type="dxa"/>
            <w:tcBorders>
              <w:top w:val="single" w:color="auto" w:sz="4" w:space="0"/>
              <w:left w:val="single" w:color="auto" w:sz="4" w:space="0"/>
              <w:bottom w:val="single" w:color="auto" w:sz="4" w:space="0"/>
              <w:right w:val="single" w:color="auto" w:sz="4" w:space="0"/>
            </w:tcBorders>
            <w:shd w:val="clear" w:color="auto" w:fill="auto"/>
            <w:vAlign w:val="center"/>
          </w:tcPr>
          <w:p w14:paraId="7C27E1A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对50家以上企业提供人工智能技术支持</w:t>
            </w:r>
          </w:p>
        </w:tc>
      </w:tr>
      <w:tr w14:paraId="5A392D1F">
        <w:tblPrEx>
          <w:tblCellMar>
            <w:top w:w="0" w:type="dxa"/>
            <w:left w:w="108" w:type="dxa"/>
            <w:bottom w:w="0" w:type="dxa"/>
            <w:right w:w="108" w:type="dxa"/>
          </w:tblCellMar>
        </w:tblPrEx>
        <w:trPr>
          <w:trHeight w:val="774" w:hRule="atLeast"/>
          <w:jc w:val="center"/>
        </w:trPr>
        <w:tc>
          <w:tcPr>
            <w:tcW w:w="187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E20AE7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信创自主可控适配服务</w:t>
            </w:r>
          </w:p>
        </w:tc>
        <w:tc>
          <w:tcPr>
            <w:tcW w:w="8565" w:type="dxa"/>
            <w:tcBorders>
              <w:top w:val="single" w:color="auto" w:sz="4" w:space="0"/>
              <w:left w:val="single" w:color="auto" w:sz="4" w:space="0"/>
              <w:bottom w:val="single" w:color="auto" w:sz="4" w:space="0"/>
              <w:right w:val="single" w:color="auto" w:sz="4" w:space="0"/>
            </w:tcBorders>
            <w:shd w:val="clear" w:color="auto" w:fill="auto"/>
            <w:vAlign w:val="center"/>
          </w:tcPr>
          <w:p w14:paraId="62764DC7">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kern w:val="0"/>
                <w:sz w:val="20"/>
                <w:szCs w:val="20"/>
                <w:lang w:eastAsia="zh-CN"/>
              </w:rPr>
            </w:pPr>
            <w:r>
              <w:rPr>
                <w:rFonts w:hint="eastAsia" w:ascii="宋体" w:hAnsi="宋体" w:eastAsia="宋体" w:cs="宋体"/>
                <w:kern w:val="0"/>
                <w:sz w:val="20"/>
                <w:szCs w:val="20"/>
              </w:rPr>
              <w:t>针对政务系统2027年国产化替代目标，以及贵阳贵安其他重点企业，拟定国产化适配调研表，向贵阳市区各委办局开展调研，根据上级管理单位有关规定，有序推进国产化适配工作</w:t>
            </w:r>
            <w:r>
              <w:rPr>
                <w:rFonts w:hint="eastAsia" w:ascii="宋体" w:hAnsi="宋体" w:cs="宋体"/>
                <w:kern w:val="0"/>
                <w:sz w:val="20"/>
                <w:szCs w:val="20"/>
                <w:lang w:eastAsia="zh-CN"/>
              </w:rPr>
              <w:t>。</w:t>
            </w:r>
          </w:p>
        </w:tc>
        <w:tc>
          <w:tcPr>
            <w:tcW w:w="2813" w:type="dxa"/>
            <w:tcBorders>
              <w:top w:val="single" w:color="auto" w:sz="4" w:space="0"/>
              <w:left w:val="single" w:color="auto" w:sz="4" w:space="0"/>
              <w:bottom w:val="single" w:color="auto" w:sz="4" w:space="0"/>
              <w:right w:val="single" w:color="auto" w:sz="4" w:space="0"/>
            </w:tcBorders>
            <w:shd w:val="clear" w:color="auto" w:fill="auto"/>
            <w:vAlign w:val="center"/>
          </w:tcPr>
          <w:p w14:paraId="78C60F5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完成100个产品适配认证</w:t>
            </w:r>
          </w:p>
        </w:tc>
      </w:tr>
      <w:tr w14:paraId="3E7FA38A">
        <w:tblPrEx>
          <w:tblCellMar>
            <w:top w:w="0" w:type="dxa"/>
            <w:left w:w="108" w:type="dxa"/>
            <w:bottom w:w="0" w:type="dxa"/>
            <w:right w:w="108" w:type="dxa"/>
          </w:tblCellMar>
        </w:tblPrEx>
        <w:trPr>
          <w:trHeight w:val="602" w:hRule="atLeast"/>
          <w:jc w:val="center"/>
        </w:trPr>
        <w:tc>
          <w:tcPr>
            <w:tcW w:w="1874" w:type="dxa"/>
            <w:vMerge w:val="continue"/>
            <w:tcBorders>
              <w:top w:val="single" w:color="auto" w:sz="4" w:space="0"/>
              <w:left w:val="single" w:color="auto" w:sz="4" w:space="0"/>
              <w:bottom w:val="single" w:color="auto" w:sz="4" w:space="0"/>
              <w:right w:val="single" w:color="auto" w:sz="4" w:space="0"/>
            </w:tcBorders>
            <w:vAlign w:val="center"/>
          </w:tcPr>
          <w:p w14:paraId="6167F5FB">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kern w:val="0"/>
                <w:sz w:val="20"/>
                <w:szCs w:val="20"/>
              </w:rPr>
            </w:pPr>
          </w:p>
        </w:tc>
        <w:tc>
          <w:tcPr>
            <w:tcW w:w="8565" w:type="dxa"/>
            <w:tcBorders>
              <w:top w:val="single" w:color="auto" w:sz="4" w:space="0"/>
              <w:left w:val="single" w:color="auto" w:sz="4" w:space="0"/>
              <w:bottom w:val="single" w:color="auto" w:sz="4" w:space="0"/>
              <w:right w:val="single" w:color="auto" w:sz="4" w:space="0"/>
            </w:tcBorders>
            <w:shd w:val="clear" w:color="auto" w:fill="auto"/>
            <w:vAlign w:val="center"/>
          </w:tcPr>
          <w:p w14:paraId="7E3F4002">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kern w:val="0"/>
                <w:sz w:val="20"/>
                <w:szCs w:val="20"/>
                <w:lang w:eastAsia="zh-CN"/>
              </w:rPr>
            </w:pPr>
            <w:r>
              <w:rPr>
                <w:rFonts w:hint="eastAsia" w:ascii="宋体" w:hAnsi="宋体" w:eastAsia="宋体" w:cs="宋体"/>
                <w:kern w:val="0"/>
                <w:sz w:val="20"/>
                <w:szCs w:val="20"/>
              </w:rPr>
              <w:t>推动本地XC软件适配应用上架华为云商店，助力软件推广</w:t>
            </w:r>
            <w:r>
              <w:rPr>
                <w:rFonts w:hint="eastAsia" w:ascii="宋体" w:hAnsi="宋体" w:cs="宋体"/>
                <w:kern w:val="0"/>
                <w:sz w:val="20"/>
                <w:szCs w:val="20"/>
                <w:lang w:eastAsia="zh-CN"/>
              </w:rPr>
              <w:t>。</w:t>
            </w:r>
          </w:p>
        </w:tc>
        <w:tc>
          <w:tcPr>
            <w:tcW w:w="2813" w:type="dxa"/>
            <w:tcBorders>
              <w:top w:val="single" w:color="auto" w:sz="4" w:space="0"/>
              <w:left w:val="single" w:color="auto" w:sz="4" w:space="0"/>
              <w:bottom w:val="single" w:color="auto" w:sz="4" w:space="0"/>
              <w:right w:val="single" w:color="auto" w:sz="4" w:space="0"/>
            </w:tcBorders>
            <w:shd w:val="clear" w:color="auto" w:fill="auto"/>
            <w:vAlign w:val="center"/>
          </w:tcPr>
          <w:p w14:paraId="03E2EF6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商用10个</w:t>
            </w:r>
          </w:p>
        </w:tc>
      </w:tr>
      <w:tr w14:paraId="28D6FAB1">
        <w:tblPrEx>
          <w:tblCellMar>
            <w:top w:w="0" w:type="dxa"/>
            <w:left w:w="108" w:type="dxa"/>
            <w:bottom w:w="0" w:type="dxa"/>
            <w:right w:w="108" w:type="dxa"/>
          </w:tblCellMar>
        </w:tblPrEx>
        <w:trPr>
          <w:trHeight w:val="790" w:hRule="atLeast"/>
          <w:jc w:val="center"/>
        </w:trPr>
        <w:tc>
          <w:tcPr>
            <w:tcW w:w="1874" w:type="dxa"/>
            <w:vMerge w:val="continue"/>
            <w:tcBorders>
              <w:top w:val="single" w:color="auto" w:sz="4" w:space="0"/>
              <w:left w:val="single" w:color="auto" w:sz="4" w:space="0"/>
              <w:bottom w:val="single" w:color="auto" w:sz="4" w:space="0"/>
              <w:right w:val="single" w:color="auto" w:sz="4" w:space="0"/>
            </w:tcBorders>
            <w:vAlign w:val="center"/>
          </w:tcPr>
          <w:p w14:paraId="32894830">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kern w:val="0"/>
                <w:sz w:val="20"/>
                <w:szCs w:val="20"/>
              </w:rPr>
            </w:pPr>
          </w:p>
        </w:tc>
        <w:tc>
          <w:tcPr>
            <w:tcW w:w="8565" w:type="dxa"/>
            <w:tcBorders>
              <w:top w:val="single" w:color="auto" w:sz="4" w:space="0"/>
              <w:left w:val="single" w:color="auto" w:sz="4" w:space="0"/>
              <w:bottom w:val="single" w:color="auto" w:sz="4" w:space="0"/>
              <w:right w:val="single" w:color="auto" w:sz="4" w:space="0"/>
            </w:tcBorders>
            <w:shd w:val="clear" w:color="auto" w:fill="auto"/>
            <w:vAlign w:val="center"/>
          </w:tcPr>
          <w:p w14:paraId="3FDE600F">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kern w:val="0"/>
                <w:sz w:val="20"/>
                <w:szCs w:val="20"/>
                <w:lang w:eastAsia="zh-CN"/>
              </w:rPr>
            </w:pPr>
            <w:r>
              <w:rPr>
                <w:rFonts w:hint="eastAsia" w:ascii="宋体" w:hAnsi="宋体" w:eastAsia="宋体" w:cs="宋体"/>
                <w:kern w:val="0"/>
                <w:sz w:val="20"/>
                <w:szCs w:val="20"/>
              </w:rPr>
              <w:t>积极响应国发二号文数字经济发展东数西算国家战略，促进贵州新型应用创新人才的储备，连接政校企，以赛促学，以赛促训，聚集人才</w:t>
            </w:r>
            <w:r>
              <w:rPr>
                <w:rFonts w:hint="eastAsia" w:ascii="宋体" w:hAnsi="宋体" w:cs="宋体"/>
                <w:kern w:val="0"/>
                <w:sz w:val="20"/>
                <w:szCs w:val="20"/>
                <w:lang w:eastAsia="zh-CN"/>
              </w:rPr>
              <w:t>。</w:t>
            </w:r>
          </w:p>
        </w:tc>
        <w:tc>
          <w:tcPr>
            <w:tcW w:w="2813" w:type="dxa"/>
            <w:tcBorders>
              <w:top w:val="single" w:color="auto" w:sz="4" w:space="0"/>
              <w:left w:val="single" w:color="auto" w:sz="4" w:space="0"/>
              <w:bottom w:val="single" w:color="auto" w:sz="4" w:space="0"/>
              <w:right w:val="single" w:color="auto" w:sz="4" w:space="0"/>
            </w:tcBorders>
            <w:shd w:val="clear" w:color="auto" w:fill="auto"/>
            <w:vAlign w:val="center"/>
          </w:tcPr>
          <w:p w14:paraId="3D8E35FB">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举办1场开发者或鲲鹏应用大赛</w:t>
            </w:r>
          </w:p>
        </w:tc>
      </w:tr>
      <w:tr w14:paraId="4BA71378">
        <w:tblPrEx>
          <w:tblCellMar>
            <w:top w:w="0" w:type="dxa"/>
            <w:left w:w="108" w:type="dxa"/>
            <w:bottom w:w="0" w:type="dxa"/>
            <w:right w:w="108" w:type="dxa"/>
          </w:tblCellMar>
        </w:tblPrEx>
        <w:trPr>
          <w:trHeight w:val="534" w:hRule="atLeast"/>
          <w:jc w:val="center"/>
        </w:trPr>
        <w:tc>
          <w:tcPr>
            <w:tcW w:w="187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8114173">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人才培养服务</w:t>
            </w:r>
          </w:p>
        </w:tc>
        <w:tc>
          <w:tcPr>
            <w:tcW w:w="8565" w:type="dxa"/>
            <w:tcBorders>
              <w:top w:val="single" w:color="auto" w:sz="4" w:space="0"/>
              <w:left w:val="single" w:color="auto" w:sz="4" w:space="0"/>
              <w:bottom w:val="single" w:color="auto" w:sz="4" w:space="0"/>
              <w:right w:val="single" w:color="auto" w:sz="4" w:space="0"/>
            </w:tcBorders>
            <w:shd w:val="clear" w:color="auto" w:fill="auto"/>
            <w:vAlign w:val="center"/>
          </w:tcPr>
          <w:p w14:paraId="3E9E2B28">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kern w:val="0"/>
                <w:sz w:val="20"/>
                <w:szCs w:val="20"/>
                <w:lang w:eastAsia="zh-CN"/>
              </w:rPr>
            </w:pPr>
            <w:r>
              <w:rPr>
                <w:rFonts w:hint="eastAsia" w:ascii="宋体" w:hAnsi="宋体" w:eastAsia="宋体" w:cs="宋体"/>
                <w:kern w:val="0"/>
                <w:sz w:val="20"/>
                <w:szCs w:val="20"/>
              </w:rPr>
              <w:t>以开设高研班为</w:t>
            </w:r>
            <w:r>
              <w:rPr>
                <w:rFonts w:hint="eastAsia" w:ascii="宋体" w:hAnsi="宋体" w:eastAsia="宋体" w:cs="宋体"/>
                <w:kern w:val="0"/>
                <w:sz w:val="20"/>
                <w:szCs w:val="20"/>
                <w:lang w:eastAsia="zh-CN"/>
              </w:rPr>
              <w:t>基础</w:t>
            </w:r>
            <w:r>
              <w:rPr>
                <w:rFonts w:hint="eastAsia" w:ascii="宋体" w:hAnsi="宋体" w:eastAsia="宋体" w:cs="宋体"/>
                <w:kern w:val="0"/>
                <w:sz w:val="20"/>
                <w:szCs w:val="20"/>
              </w:rPr>
              <w:t>，邀请贵阳贵安企业CXO走进华为，进行数字领导力赋能学习</w:t>
            </w:r>
            <w:r>
              <w:rPr>
                <w:rFonts w:hint="eastAsia" w:ascii="宋体" w:hAnsi="宋体" w:cs="宋体"/>
                <w:kern w:val="0"/>
                <w:sz w:val="20"/>
                <w:szCs w:val="20"/>
                <w:lang w:eastAsia="zh-CN"/>
              </w:rPr>
              <w:t>。</w:t>
            </w:r>
          </w:p>
        </w:tc>
        <w:tc>
          <w:tcPr>
            <w:tcW w:w="2813" w:type="dxa"/>
            <w:tcBorders>
              <w:top w:val="single" w:color="auto" w:sz="4" w:space="0"/>
              <w:left w:val="single" w:color="auto" w:sz="4" w:space="0"/>
              <w:bottom w:val="single" w:color="auto" w:sz="4" w:space="0"/>
              <w:right w:val="single" w:color="auto" w:sz="4" w:space="0"/>
            </w:tcBorders>
            <w:shd w:val="clear" w:color="auto" w:fill="auto"/>
            <w:vAlign w:val="center"/>
          </w:tcPr>
          <w:p w14:paraId="7C19DEE3">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赋能150名企业CXO</w:t>
            </w:r>
          </w:p>
        </w:tc>
      </w:tr>
      <w:tr w14:paraId="16E75A07">
        <w:tblPrEx>
          <w:tblCellMar>
            <w:top w:w="0" w:type="dxa"/>
            <w:left w:w="108" w:type="dxa"/>
            <w:bottom w:w="0" w:type="dxa"/>
            <w:right w:w="108" w:type="dxa"/>
          </w:tblCellMar>
        </w:tblPrEx>
        <w:trPr>
          <w:trHeight w:val="852" w:hRule="atLeast"/>
          <w:jc w:val="center"/>
        </w:trPr>
        <w:tc>
          <w:tcPr>
            <w:tcW w:w="187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EED709">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kern w:val="0"/>
                <w:sz w:val="20"/>
                <w:szCs w:val="20"/>
              </w:rPr>
            </w:pPr>
          </w:p>
        </w:tc>
        <w:tc>
          <w:tcPr>
            <w:tcW w:w="8565" w:type="dxa"/>
            <w:tcBorders>
              <w:top w:val="single" w:color="auto" w:sz="4" w:space="0"/>
              <w:left w:val="single" w:color="auto" w:sz="4" w:space="0"/>
              <w:bottom w:val="single" w:color="auto" w:sz="4" w:space="0"/>
              <w:right w:val="single" w:color="auto" w:sz="4" w:space="0"/>
            </w:tcBorders>
            <w:shd w:val="clear" w:color="auto" w:fill="auto"/>
            <w:vAlign w:val="center"/>
          </w:tcPr>
          <w:p w14:paraId="5A3829A1">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kern w:val="0"/>
                <w:sz w:val="20"/>
                <w:szCs w:val="20"/>
                <w:lang w:eastAsia="zh-CN"/>
              </w:rPr>
            </w:pPr>
            <w:r>
              <w:rPr>
                <w:rFonts w:hint="eastAsia" w:ascii="宋体" w:hAnsi="宋体" w:eastAsia="宋体" w:cs="宋体"/>
                <w:kern w:val="0"/>
                <w:sz w:val="20"/>
                <w:szCs w:val="20"/>
              </w:rPr>
              <w:t>与本地高校达成产学研融合发展合作共识，计划年内与贵州师范大学、贵州商学院、六盘水职业学院、六盘水师范学院、毕节医学高等专科学校等高校开展创新人才培养合作</w:t>
            </w:r>
            <w:r>
              <w:rPr>
                <w:rFonts w:hint="eastAsia" w:ascii="宋体" w:hAnsi="宋体" w:cs="宋体"/>
                <w:kern w:val="0"/>
                <w:sz w:val="20"/>
                <w:szCs w:val="20"/>
                <w:lang w:eastAsia="zh-CN"/>
              </w:rPr>
              <w:t>。</w:t>
            </w:r>
          </w:p>
        </w:tc>
        <w:tc>
          <w:tcPr>
            <w:tcW w:w="2813" w:type="dxa"/>
            <w:tcBorders>
              <w:top w:val="single" w:color="auto" w:sz="4" w:space="0"/>
              <w:left w:val="single" w:color="auto" w:sz="4" w:space="0"/>
              <w:bottom w:val="single" w:color="auto" w:sz="4" w:space="0"/>
              <w:right w:val="single" w:color="auto" w:sz="4" w:space="0"/>
            </w:tcBorders>
            <w:shd w:val="clear" w:color="auto" w:fill="auto"/>
            <w:vAlign w:val="center"/>
          </w:tcPr>
          <w:p w14:paraId="7E9BF7D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合作3所高校</w:t>
            </w:r>
          </w:p>
        </w:tc>
      </w:tr>
      <w:tr w14:paraId="0C14E282">
        <w:tblPrEx>
          <w:tblCellMar>
            <w:top w:w="0" w:type="dxa"/>
            <w:left w:w="108" w:type="dxa"/>
            <w:bottom w:w="0" w:type="dxa"/>
            <w:right w:w="108" w:type="dxa"/>
          </w:tblCellMar>
        </w:tblPrEx>
        <w:trPr>
          <w:trHeight w:val="566" w:hRule="atLeast"/>
          <w:jc w:val="center"/>
        </w:trPr>
        <w:tc>
          <w:tcPr>
            <w:tcW w:w="187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E8B069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kern w:val="0"/>
                <w:sz w:val="20"/>
                <w:szCs w:val="20"/>
              </w:rPr>
            </w:pPr>
          </w:p>
        </w:tc>
        <w:tc>
          <w:tcPr>
            <w:tcW w:w="8565" w:type="dxa"/>
            <w:tcBorders>
              <w:top w:val="single" w:color="auto" w:sz="4" w:space="0"/>
              <w:left w:val="single" w:color="auto" w:sz="4" w:space="0"/>
              <w:bottom w:val="single" w:color="auto" w:sz="4" w:space="0"/>
              <w:right w:val="single" w:color="auto" w:sz="4" w:space="0"/>
            </w:tcBorders>
            <w:shd w:val="clear" w:color="auto" w:fill="auto"/>
            <w:vAlign w:val="center"/>
          </w:tcPr>
          <w:p w14:paraId="1FFA1FF1">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kern w:val="0"/>
                <w:sz w:val="20"/>
                <w:szCs w:val="20"/>
                <w:lang w:eastAsia="zh-CN"/>
              </w:rPr>
            </w:pPr>
            <w:r>
              <w:rPr>
                <w:rFonts w:hint="eastAsia" w:ascii="宋体" w:hAnsi="宋体" w:eastAsia="宋体" w:cs="宋体"/>
                <w:kern w:val="0"/>
                <w:sz w:val="20"/>
                <w:szCs w:val="20"/>
              </w:rPr>
              <w:t>通过</w:t>
            </w:r>
            <w:r>
              <w:rPr>
                <w:rFonts w:hint="eastAsia" w:ascii="宋体" w:hAnsi="宋体" w:eastAsia="宋体" w:cs="宋体"/>
                <w:kern w:val="0"/>
                <w:sz w:val="20"/>
                <w:szCs w:val="20"/>
                <w:lang w:eastAsia="zh-CN"/>
              </w:rPr>
              <w:t>开设</w:t>
            </w:r>
            <w:r>
              <w:rPr>
                <w:rFonts w:hint="eastAsia" w:ascii="宋体" w:hAnsi="宋体" w:eastAsia="宋体" w:cs="宋体"/>
                <w:kern w:val="0"/>
                <w:sz w:val="20"/>
                <w:szCs w:val="20"/>
              </w:rPr>
              <w:t>高研班，校企合作创新班等方式，培养贵州本地信息化人才</w:t>
            </w:r>
            <w:r>
              <w:rPr>
                <w:rFonts w:hint="eastAsia" w:ascii="宋体" w:hAnsi="宋体" w:cs="宋体"/>
                <w:kern w:val="0"/>
                <w:sz w:val="20"/>
                <w:szCs w:val="20"/>
                <w:lang w:eastAsia="zh-CN"/>
              </w:rPr>
              <w:t>。</w:t>
            </w:r>
          </w:p>
        </w:tc>
        <w:tc>
          <w:tcPr>
            <w:tcW w:w="2813" w:type="dxa"/>
            <w:tcBorders>
              <w:top w:val="single" w:color="auto" w:sz="4" w:space="0"/>
              <w:left w:val="single" w:color="auto" w:sz="4" w:space="0"/>
              <w:bottom w:val="single" w:color="auto" w:sz="4" w:space="0"/>
              <w:right w:val="single" w:color="auto" w:sz="4" w:space="0"/>
            </w:tcBorders>
            <w:shd w:val="clear" w:color="auto" w:fill="auto"/>
            <w:vAlign w:val="center"/>
          </w:tcPr>
          <w:p w14:paraId="31C0E78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培训1200人次</w:t>
            </w:r>
          </w:p>
        </w:tc>
      </w:tr>
      <w:tr w14:paraId="625098C2">
        <w:tblPrEx>
          <w:tblCellMar>
            <w:top w:w="0" w:type="dxa"/>
            <w:left w:w="108" w:type="dxa"/>
            <w:bottom w:w="0" w:type="dxa"/>
            <w:right w:w="108" w:type="dxa"/>
          </w:tblCellMar>
        </w:tblPrEx>
        <w:trPr>
          <w:trHeight w:val="1477" w:hRule="atLeast"/>
          <w:jc w:val="center"/>
        </w:trPr>
        <w:tc>
          <w:tcPr>
            <w:tcW w:w="187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0093B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kern w:val="0"/>
                <w:sz w:val="20"/>
                <w:szCs w:val="20"/>
              </w:rPr>
            </w:pPr>
          </w:p>
        </w:tc>
        <w:tc>
          <w:tcPr>
            <w:tcW w:w="8565" w:type="dxa"/>
            <w:tcBorders>
              <w:top w:val="single" w:color="auto" w:sz="4" w:space="0"/>
              <w:left w:val="single" w:color="auto" w:sz="4" w:space="0"/>
              <w:bottom w:val="single" w:color="auto" w:sz="4" w:space="0"/>
              <w:right w:val="single" w:color="auto" w:sz="4" w:space="0"/>
            </w:tcBorders>
            <w:shd w:val="clear" w:color="auto" w:fill="auto"/>
            <w:vAlign w:val="center"/>
          </w:tcPr>
          <w:p w14:paraId="10BE248B">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kern w:val="0"/>
                <w:sz w:val="20"/>
                <w:szCs w:val="20"/>
                <w:lang w:eastAsia="zh-CN"/>
              </w:rPr>
            </w:pPr>
            <w:r>
              <w:rPr>
                <w:rFonts w:hint="eastAsia" w:ascii="宋体" w:hAnsi="宋体" w:eastAsia="宋体" w:cs="宋体"/>
                <w:kern w:val="0"/>
                <w:sz w:val="20"/>
                <w:szCs w:val="20"/>
              </w:rPr>
              <w:t>依托华为云总部培训体系优势，在贵州培养专业化的ICT工程师</w:t>
            </w:r>
            <w:r>
              <w:rPr>
                <w:rFonts w:hint="eastAsia" w:ascii="宋体" w:hAnsi="宋体" w:cs="宋体"/>
                <w:kern w:val="0"/>
                <w:sz w:val="20"/>
                <w:szCs w:val="20"/>
                <w:lang w:eastAsia="zh-CN"/>
              </w:rPr>
              <w:t>。</w:t>
            </w:r>
          </w:p>
        </w:tc>
        <w:tc>
          <w:tcPr>
            <w:tcW w:w="2813" w:type="dxa"/>
            <w:tcBorders>
              <w:top w:val="single" w:color="auto" w:sz="4" w:space="0"/>
              <w:left w:val="single" w:color="auto" w:sz="4" w:space="0"/>
              <w:bottom w:val="single" w:color="auto" w:sz="4" w:space="0"/>
              <w:right w:val="single" w:color="auto" w:sz="4" w:space="0"/>
            </w:tcBorders>
            <w:shd w:val="clear" w:color="auto" w:fill="auto"/>
            <w:vAlign w:val="center"/>
          </w:tcPr>
          <w:p w14:paraId="78FE1274">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在贵州累计培养ICT工程师1.3万人次（其中22年2000人次、23年2500人次、24年3500人次、25年5000人次）</w:t>
            </w:r>
          </w:p>
        </w:tc>
      </w:tr>
      <w:tr w14:paraId="02FD4C19">
        <w:tblPrEx>
          <w:tblCellMar>
            <w:top w:w="0" w:type="dxa"/>
            <w:left w:w="108" w:type="dxa"/>
            <w:bottom w:w="0" w:type="dxa"/>
            <w:right w:w="108" w:type="dxa"/>
          </w:tblCellMar>
        </w:tblPrEx>
        <w:trPr>
          <w:trHeight w:val="1124" w:hRule="atLeast"/>
          <w:jc w:val="center"/>
        </w:trPr>
        <w:tc>
          <w:tcPr>
            <w:tcW w:w="187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9362F3">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kern w:val="0"/>
                <w:sz w:val="20"/>
                <w:szCs w:val="20"/>
              </w:rPr>
            </w:pPr>
          </w:p>
        </w:tc>
        <w:tc>
          <w:tcPr>
            <w:tcW w:w="8565" w:type="dxa"/>
            <w:tcBorders>
              <w:top w:val="single" w:color="auto" w:sz="4" w:space="0"/>
              <w:left w:val="single" w:color="auto" w:sz="4" w:space="0"/>
              <w:bottom w:val="single" w:color="auto" w:sz="4" w:space="0"/>
              <w:right w:val="single" w:color="auto" w:sz="4" w:space="0"/>
            </w:tcBorders>
            <w:shd w:val="clear" w:color="auto" w:fill="auto"/>
            <w:vAlign w:val="center"/>
          </w:tcPr>
          <w:p w14:paraId="191719F8">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kern w:val="0"/>
                <w:sz w:val="20"/>
                <w:szCs w:val="20"/>
                <w:lang w:eastAsia="zh-CN"/>
              </w:rPr>
            </w:pPr>
            <w:r>
              <w:rPr>
                <w:rFonts w:hint="eastAsia" w:ascii="宋体" w:hAnsi="宋体" w:eastAsia="宋体" w:cs="宋体"/>
                <w:kern w:val="0"/>
                <w:sz w:val="20"/>
                <w:szCs w:val="20"/>
              </w:rPr>
              <w:t>面向企事业单位信息技术从业人员、高职高校师生开展技术沙龙活动和华为开发者认证培训活动，在云、大数据、物联网、人工智能等领域助力本地开发者生态构建，提升师资项目经验，培养学生行业实战技能</w:t>
            </w:r>
            <w:r>
              <w:rPr>
                <w:rFonts w:hint="eastAsia" w:ascii="宋体" w:hAnsi="宋体" w:cs="宋体"/>
                <w:kern w:val="0"/>
                <w:sz w:val="20"/>
                <w:szCs w:val="20"/>
                <w:lang w:eastAsia="zh-CN"/>
              </w:rPr>
              <w:t>。</w:t>
            </w:r>
          </w:p>
        </w:tc>
        <w:tc>
          <w:tcPr>
            <w:tcW w:w="2813" w:type="dxa"/>
            <w:tcBorders>
              <w:top w:val="single" w:color="auto" w:sz="4" w:space="0"/>
              <w:left w:val="single" w:color="auto" w:sz="4" w:space="0"/>
              <w:bottom w:val="single" w:color="auto" w:sz="4" w:space="0"/>
              <w:right w:val="single" w:color="auto" w:sz="4" w:space="0"/>
            </w:tcBorders>
            <w:shd w:val="clear" w:color="auto" w:fill="auto"/>
            <w:vAlign w:val="center"/>
          </w:tcPr>
          <w:p w14:paraId="65D61113">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举办10场技术沙龙</w:t>
            </w:r>
          </w:p>
        </w:tc>
      </w:tr>
    </w:tbl>
    <w:p w14:paraId="76C43F40">
      <w:pPr>
        <w:keepNext w:val="0"/>
        <w:keepLines w:val="0"/>
        <w:pageBreakBefore w:val="0"/>
        <w:widowControl w:val="0"/>
        <w:numPr>
          <w:ilvl w:val="0"/>
          <w:numId w:val="0"/>
        </w:numPr>
        <w:kinsoku/>
        <w:wordWrap/>
        <w:overflowPunct/>
        <w:topLinePunct w:val="0"/>
        <w:autoSpaceDE/>
        <w:autoSpaceDN/>
        <w:bidi w:val="0"/>
        <w:spacing w:line="540" w:lineRule="exact"/>
        <w:ind w:left="644" w:leftChars="0"/>
        <w:jc w:val="left"/>
        <w:textAlignment w:val="auto"/>
        <w:rPr>
          <w:rFonts w:ascii="楷体_GB2312" w:eastAsia="楷体_GB2312"/>
          <w:sz w:val="32"/>
          <w:szCs w:val="32"/>
        </w:rPr>
      </w:pPr>
      <w:r>
        <w:rPr>
          <w:rFonts w:hint="eastAsia" w:ascii="楷体_GB2312" w:eastAsia="楷体_GB2312"/>
          <w:sz w:val="32"/>
          <w:szCs w:val="32"/>
          <w:lang w:eastAsia="zh-CN"/>
        </w:rPr>
        <w:t>（五）</w:t>
      </w:r>
      <w:r>
        <w:rPr>
          <w:rFonts w:hint="eastAsia" w:ascii="楷体_GB2312" w:eastAsia="楷体_GB2312"/>
          <w:sz w:val="32"/>
          <w:szCs w:val="32"/>
        </w:rPr>
        <w:t>预期成果</w:t>
      </w:r>
    </w:p>
    <w:p w14:paraId="56D8B0B0">
      <w:pPr>
        <w:pStyle w:val="8"/>
        <w:keepNext w:val="0"/>
        <w:keepLines w:val="0"/>
        <w:pageBreakBefore w:val="0"/>
        <w:widowControl w:val="0"/>
        <w:kinsoku/>
        <w:wordWrap/>
        <w:overflowPunct/>
        <w:topLinePunct w:val="0"/>
        <w:autoSpaceDE/>
        <w:autoSpaceDN/>
        <w:bidi w:val="0"/>
        <w:spacing w:line="540" w:lineRule="exact"/>
        <w:ind w:firstLine="644" w:firstLineChars="200"/>
        <w:jc w:val="lef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经济效益：华为（贵阳贵安）数字经济创新中心建设运营的未来三年，预计服务1000+家本地企业，服务金额近1.5亿元，人才培养约5000人次，经济拉动效应的构成主要包括三块：一是直接效应，主要为华为（贵阳贵安）数字经济创新中心各项建设投资和运营服务带来的直接贡献和直接拉动，包括建设运营中的设备投资、运营经费、服务收入等一方面转化为直接的产出贡献，另一方面直接拉动相关行业的产出增加。二是间接效应，主要为贵阳贵安企业应用华为（贵阳贵安）数字经济创新中心服务实现降本增效，带来营收和利润增加，进而进行扩大生产，由此引发的对上下游产业链的拉动效应。三是诱发效应，主要为上述直接和间接拉动带来员工劳动报酬增加的一定比例转化为消费支出，诱发经济系统新一轮的投入产出运转，进而对相关产业部门带来的拉动效应。</w:t>
      </w:r>
    </w:p>
    <w:p w14:paraId="41FA47DD">
      <w:pPr>
        <w:pStyle w:val="8"/>
        <w:keepNext w:val="0"/>
        <w:keepLines w:val="0"/>
        <w:pageBreakBefore w:val="0"/>
        <w:widowControl w:val="0"/>
        <w:kinsoku/>
        <w:wordWrap/>
        <w:overflowPunct/>
        <w:topLinePunct w:val="0"/>
        <w:autoSpaceDE/>
        <w:autoSpaceDN/>
        <w:bidi w:val="0"/>
        <w:spacing w:line="540" w:lineRule="exact"/>
        <w:ind w:firstLine="644" w:firstLineChars="200"/>
        <w:jc w:val="lef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社会效益：一是数字经济引领作用充分发挥。大数据与实体经济深度融合发展水平向中级阶段迈进，数字经济增加值年均增长20%以上，数字经济增加值占地区生产总值的比重达到30%以上。二是赋能贵安生态产业链发展。华为（贵阳贵安）数字经济创新中心的建设，基于华为的ICT开放能力，打造合作共赢的产业生态圈，带动上下游产业链发展，赋能贵阳贵安企业提质增效、转型升级。</w:t>
      </w:r>
    </w:p>
    <w:p w14:paraId="04834D86">
      <w:pPr>
        <w:pStyle w:val="5"/>
        <w:keepNext w:val="0"/>
        <w:keepLines w:val="0"/>
        <w:pageBreakBefore w:val="0"/>
        <w:widowControl w:val="0"/>
        <w:kinsoku/>
        <w:wordWrap/>
        <w:overflowPunct/>
        <w:topLinePunct w:val="0"/>
        <w:autoSpaceDE/>
        <w:autoSpaceDN/>
        <w:bidi w:val="0"/>
        <w:spacing w:after="0" w:afterLines="0" w:line="540" w:lineRule="exact"/>
        <w:ind w:firstLine="644" w:firstLineChars="200"/>
        <w:jc w:val="left"/>
        <w:textAlignment w:val="auto"/>
        <w:rPr>
          <w:rFonts w:hint="eastAsia" w:ascii="黑体" w:eastAsia="黑体"/>
          <w:sz w:val="32"/>
          <w:szCs w:val="32"/>
          <w:highlight w:val="none"/>
        </w:rPr>
      </w:pPr>
      <w:r>
        <w:rPr>
          <w:rFonts w:hint="eastAsia" w:ascii="黑体" w:eastAsia="黑体"/>
          <w:sz w:val="32"/>
          <w:szCs w:val="32"/>
          <w:highlight w:val="none"/>
        </w:rPr>
        <w:t>五、实施周期</w:t>
      </w:r>
    </w:p>
    <w:p w14:paraId="38ADD760">
      <w:pPr>
        <w:pStyle w:val="8"/>
        <w:keepNext w:val="0"/>
        <w:keepLines w:val="0"/>
        <w:pageBreakBefore w:val="0"/>
        <w:widowControl w:val="0"/>
        <w:kinsoku/>
        <w:wordWrap/>
        <w:overflowPunct/>
        <w:topLinePunct w:val="0"/>
        <w:autoSpaceDE/>
        <w:autoSpaceDN/>
        <w:bidi w:val="0"/>
        <w:spacing w:line="540" w:lineRule="exact"/>
        <w:ind w:firstLine="644" w:firstLineChars="200"/>
        <w:jc w:val="lef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2022年6月至2025年6月。</w:t>
      </w:r>
    </w:p>
    <w:p w14:paraId="71846D89">
      <w:pPr>
        <w:keepNext w:val="0"/>
        <w:keepLines w:val="0"/>
        <w:pageBreakBefore w:val="0"/>
        <w:widowControl w:val="0"/>
        <w:kinsoku/>
        <w:wordWrap/>
        <w:overflowPunct/>
        <w:topLinePunct w:val="0"/>
        <w:autoSpaceDE/>
        <w:autoSpaceDN/>
        <w:bidi w:val="0"/>
        <w:spacing w:line="540" w:lineRule="exact"/>
        <w:ind w:left="0" w:firstLine="644" w:firstLineChars="200"/>
        <w:jc w:val="left"/>
        <w:textAlignment w:val="auto"/>
        <w:rPr>
          <w:rFonts w:ascii="黑体" w:eastAsia="黑体"/>
          <w:sz w:val="32"/>
          <w:szCs w:val="32"/>
          <w:highlight w:val="none"/>
        </w:rPr>
      </w:pPr>
      <w:r>
        <w:rPr>
          <w:rFonts w:hint="eastAsia" w:ascii="黑体" w:eastAsia="黑体"/>
          <w:sz w:val="32"/>
          <w:szCs w:val="32"/>
          <w:highlight w:val="none"/>
        </w:rPr>
        <w:t>六、年度预算计划</w:t>
      </w:r>
    </w:p>
    <w:p w14:paraId="224B85D4">
      <w:pPr>
        <w:pStyle w:val="8"/>
        <w:keepNext w:val="0"/>
        <w:keepLines w:val="0"/>
        <w:pageBreakBefore w:val="0"/>
        <w:widowControl w:val="0"/>
        <w:kinsoku/>
        <w:wordWrap/>
        <w:overflowPunct/>
        <w:topLinePunct w:val="0"/>
        <w:autoSpaceDE/>
        <w:autoSpaceDN/>
        <w:bidi w:val="0"/>
        <w:spacing w:line="540" w:lineRule="exact"/>
        <w:ind w:firstLine="644" w:firstLineChars="200"/>
        <w:jc w:val="lef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2025年预算：一般公共预算1000万元。</w:t>
      </w:r>
    </w:p>
    <w:p w14:paraId="70A7E3B5">
      <w:pPr>
        <w:keepNext w:val="0"/>
        <w:keepLines w:val="0"/>
        <w:pageBreakBefore w:val="0"/>
        <w:widowControl w:val="0"/>
        <w:kinsoku/>
        <w:wordWrap/>
        <w:overflowPunct/>
        <w:topLinePunct w:val="0"/>
        <w:autoSpaceDE/>
        <w:autoSpaceDN/>
        <w:bidi w:val="0"/>
        <w:spacing w:line="540" w:lineRule="exact"/>
        <w:ind w:left="0" w:firstLine="644" w:firstLineChars="200"/>
        <w:jc w:val="left"/>
        <w:textAlignment w:val="auto"/>
        <w:rPr>
          <w:rFonts w:ascii="黑体" w:eastAsia="黑体"/>
          <w:sz w:val="32"/>
          <w:szCs w:val="32"/>
          <w:highlight w:val="none"/>
        </w:rPr>
      </w:pPr>
      <w:r>
        <w:rPr>
          <w:rFonts w:hint="eastAsia" w:ascii="黑体" w:eastAsia="黑体"/>
          <w:sz w:val="32"/>
          <w:szCs w:val="32"/>
          <w:highlight w:val="none"/>
        </w:rPr>
        <w:t>七、绩效目标和指标</w:t>
      </w:r>
    </w:p>
    <w:p w14:paraId="1DC04D07">
      <w:pPr>
        <w:pStyle w:val="8"/>
        <w:keepNext w:val="0"/>
        <w:keepLines w:val="0"/>
        <w:pageBreakBefore w:val="0"/>
        <w:widowControl w:val="0"/>
        <w:kinsoku/>
        <w:wordWrap/>
        <w:overflowPunct/>
        <w:topLinePunct w:val="0"/>
        <w:autoSpaceDE/>
        <w:autoSpaceDN/>
        <w:bidi w:val="0"/>
        <w:spacing w:line="540" w:lineRule="exact"/>
        <w:ind w:firstLine="644" w:firstLineChars="200"/>
        <w:jc w:val="lef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详见附表。</w:t>
      </w:r>
    </w:p>
    <w:p w14:paraId="6EFE7AEB">
      <w:pPr>
        <w:keepNext w:val="0"/>
        <w:keepLines w:val="0"/>
        <w:pageBreakBefore w:val="0"/>
        <w:widowControl w:val="0"/>
        <w:kinsoku/>
        <w:wordWrap/>
        <w:overflowPunct/>
        <w:topLinePunct w:val="0"/>
        <w:autoSpaceDE/>
        <w:autoSpaceDN/>
        <w:bidi w:val="0"/>
        <w:spacing w:line="550" w:lineRule="exact"/>
        <w:jc w:val="left"/>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br w:type="page"/>
      </w:r>
    </w:p>
    <w:tbl>
      <w:tblPr>
        <w:tblStyle w:val="10"/>
        <w:tblW w:w="150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79"/>
        <w:gridCol w:w="1684"/>
        <w:gridCol w:w="2228"/>
        <w:gridCol w:w="1278"/>
        <w:gridCol w:w="1"/>
        <w:gridCol w:w="968"/>
        <w:gridCol w:w="1180"/>
        <w:gridCol w:w="2672"/>
        <w:gridCol w:w="3526"/>
      </w:tblGrid>
      <w:tr w14:paraId="69921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blHeader/>
        </w:trPr>
        <w:tc>
          <w:tcPr>
            <w:tcW w:w="15016" w:type="dxa"/>
            <w:gridSpan w:val="9"/>
            <w:tcBorders>
              <w:top w:val="nil"/>
              <w:left w:val="nil"/>
              <w:bottom w:val="nil"/>
              <w:right w:val="nil"/>
            </w:tcBorders>
            <w:shd w:val="clear" w:color="auto" w:fill="auto"/>
            <w:vAlign w:val="center"/>
          </w:tcPr>
          <w:p w14:paraId="646CE2C3">
            <w:pPr>
              <w:keepNext w:val="0"/>
              <w:keepLines w:val="0"/>
              <w:widowControl/>
              <w:suppressLineNumbers w:val="0"/>
              <w:jc w:val="center"/>
              <w:textAlignment w:val="center"/>
              <w:rPr>
                <w:rFonts w:hint="eastAsia" w:ascii="宋体" w:hAnsi="宋体" w:eastAsia="宋体" w:cs="宋体"/>
                <w:b/>
                <w:bCs/>
                <w:i w:val="0"/>
                <w:iCs w:val="0"/>
                <w:color w:val="000000"/>
                <w:sz w:val="43"/>
                <w:szCs w:val="43"/>
                <w:u w:val="none"/>
              </w:rPr>
            </w:pPr>
            <w:r>
              <w:rPr>
                <w:rFonts w:hint="eastAsia" w:ascii="宋体" w:hAnsi="宋体" w:eastAsia="宋体" w:cs="宋体"/>
                <w:b/>
                <w:bCs/>
                <w:i w:val="0"/>
                <w:iCs w:val="0"/>
                <w:color w:val="000000"/>
                <w:kern w:val="0"/>
                <w:sz w:val="43"/>
                <w:szCs w:val="43"/>
                <w:u w:val="none"/>
                <w:lang w:val="en-US" w:eastAsia="zh-CN" w:bidi="ar"/>
              </w:rPr>
              <w:t>项目支出绩效目标申报表</w:t>
            </w:r>
          </w:p>
        </w:tc>
      </w:tr>
      <w:tr w14:paraId="6A724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blHeader/>
        </w:trPr>
        <w:tc>
          <w:tcPr>
            <w:tcW w:w="15016" w:type="dxa"/>
            <w:gridSpan w:val="9"/>
            <w:tcBorders>
              <w:top w:val="nil"/>
              <w:left w:val="nil"/>
              <w:bottom w:val="single" w:color="auto" w:sz="4" w:space="0"/>
              <w:right w:val="nil"/>
            </w:tcBorders>
            <w:shd w:val="clear" w:color="auto" w:fill="auto"/>
            <w:vAlign w:val="center"/>
          </w:tcPr>
          <w:p w14:paraId="20DDB1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（2025年度）</w:t>
            </w:r>
          </w:p>
        </w:tc>
      </w:tr>
      <w:tr w14:paraId="65325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blHeader/>
        </w:trPr>
        <w:tc>
          <w:tcPr>
            <w:tcW w:w="3163"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73E447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项目名称</w:t>
            </w:r>
          </w:p>
        </w:tc>
        <w:tc>
          <w:tcPr>
            <w:tcW w:w="4475"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14:paraId="772721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华为（贵阳贵安）数字经济创新中心</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14:paraId="6119A39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项目编码</w:t>
            </w:r>
          </w:p>
        </w:tc>
        <w:tc>
          <w:tcPr>
            <w:tcW w:w="6198"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7CEE291">
            <w:pPr>
              <w:jc w:val="center"/>
              <w:rPr>
                <w:rFonts w:hint="eastAsia" w:ascii="宋体" w:hAnsi="宋体" w:eastAsia="宋体" w:cs="宋体"/>
                <w:i w:val="0"/>
                <w:iCs w:val="0"/>
                <w:color w:val="000000"/>
                <w:sz w:val="20"/>
                <w:szCs w:val="20"/>
                <w:u w:val="none"/>
              </w:rPr>
            </w:pPr>
          </w:p>
        </w:tc>
      </w:tr>
      <w:tr w14:paraId="1D8B4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blHeader/>
        </w:trPr>
        <w:tc>
          <w:tcPr>
            <w:tcW w:w="3163"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2E9A48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主管部门及代码</w:t>
            </w:r>
          </w:p>
        </w:tc>
        <w:tc>
          <w:tcPr>
            <w:tcW w:w="4475"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14:paraId="180AE6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805001/</w:t>
            </w:r>
            <w:r>
              <w:rPr>
                <w:rFonts w:hint="eastAsia" w:ascii="宋体" w:hAnsi="宋体" w:eastAsia="宋体" w:cs="宋体"/>
                <w:i w:val="0"/>
                <w:iCs w:val="0"/>
                <w:color w:val="000000"/>
                <w:kern w:val="0"/>
                <w:sz w:val="20"/>
                <w:szCs w:val="20"/>
                <w:u w:val="none"/>
                <w:lang w:val="en-US" w:eastAsia="zh-CN" w:bidi="ar"/>
              </w:rPr>
              <w:t>贵安新区投资促进局</w:t>
            </w:r>
          </w:p>
        </w:tc>
        <w:tc>
          <w:tcPr>
            <w:tcW w:w="1180" w:type="dxa"/>
            <w:tcBorders>
              <w:top w:val="single" w:color="auto" w:sz="4" w:space="0"/>
              <w:left w:val="single" w:color="auto" w:sz="4" w:space="0"/>
              <w:bottom w:val="single" w:color="auto" w:sz="4" w:space="0"/>
              <w:right w:val="single" w:color="auto" w:sz="4" w:space="0"/>
            </w:tcBorders>
            <w:shd w:val="clear" w:color="auto" w:fill="FFFFFF"/>
            <w:vAlign w:val="center"/>
          </w:tcPr>
          <w:p w14:paraId="60507DC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实施单位</w:t>
            </w:r>
          </w:p>
        </w:tc>
        <w:tc>
          <w:tcPr>
            <w:tcW w:w="6198"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0BFA8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贵安新区投资促进局</w:t>
            </w:r>
          </w:p>
        </w:tc>
      </w:tr>
      <w:tr w14:paraId="124F1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3163" w:type="dxa"/>
            <w:gridSpan w:val="2"/>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3006BFE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资金来源</w:t>
            </w:r>
          </w:p>
        </w:tc>
        <w:tc>
          <w:tcPr>
            <w:tcW w:w="11853" w:type="dxa"/>
            <w:gridSpan w:val="7"/>
            <w:tcBorders>
              <w:top w:val="single" w:color="auto" w:sz="4" w:space="0"/>
              <w:left w:val="single" w:color="auto" w:sz="4" w:space="0"/>
              <w:bottom w:val="single" w:color="auto" w:sz="4" w:space="0"/>
              <w:right w:val="single" w:color="auto" w:sz="4" w:space="0"/>
            </w:tcBorders>
            <w:shd w:val="clear" w:color="auto" w:fill="FFFFFF"/>
            <w:vAlign w:val="center"/>
          </w:tcPr>
          <w:p w14:paraId="1558498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年度资金情况</w:t>
            </w:r>
          </w:p>
        </w:tc>
      </w:tr>
      <w:tr w14:paraId="74C0D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3163" w:type="dxa"/>
            <w:gridSpan w:val="2"/>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47948AD">
            <w:pPr>
              <w:jc w:val="center"/>
              <w:rPr>
                <w:rFonts w:hint="eastAsia" w:ascii="宋体" w:hAnsi="宋体" w:eastAsia="宋体" w:cs="宋体"/>
                <w:b/>
                <w:bCs/>
                <w:i w:val="0"/>
                <w:iCs w:val="0"/>
                <w:color w:val="000000"/>
                <w:sz w:val="20"/>
                <w:szCs w:val="20"/>
                <w:u w:val="none"/>
              </w:rPr>
            </w:pPr>
          </w:p>
        </w:tc>
        <w:tc>
          <w:tcPr>
            <w:tcW w:w="3507"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603C94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资金总额(元)：</w:t>
            </w:r>
          </w:p>
        </w:tc>
        <w:tc>
          <w:tcPr>
            <w:tcW w:w="8346"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14:paraId="4D210D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10,000,000.00</w:t>
            </w:r>
          </w:p>
        </w:tc>
      </w:tr>
      <w:tr w14:paraId="20B50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3163" w:type="dxa"/>
            <w:gridSpan w:val="2"/>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DE1F40B">
            <w:pPr>
              <w:jc w:val="center"/>
              <w:rPr>
                <w:rFonts w:hint="eastAsia" w:ascii="宋体" w:hAnsi="宋体" w:eastAsia="宋体" w:cs="宋体"/>
                <w:b/>
                <w:bCs/>
                <w:i w:val="0"/>
                <w:iCs w:val="0"/>
                <w:color w:val="000000"/>
                <w:sz w:val="20"/>
                <w:szCs w:val="20"/>
                <w:u w:val="none"/>
              </w:rPr>
            </w:pPr>
          </w:p>
        </w:tc>
        <w:tc>
          <w:tcPr>
            <w:tcW w:w="3507"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7DFF3E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财政拨款</w:t>
            </w:r>
          </w:p>
        </w:tc>
        <w:tc>
          <w:tcPr>
            <w:tcW w:w="8346"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14:paraId="62950A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10,000,000.00</w:t>
            </w:r>
          </w:p>
        </w:tc>
      </w:tr>
      <w:tr w14:paraId="10B77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3163" w:type="dxa"/>
            <w:gridSpan w:val="2"/>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DEB6AAC">
            <w:pPr>
              <w:jc w:val="center"/>
              <w:rPr>
                <w:rFonts w:hint="eastAsia" w:ascii="宋体" w:hAnsi="宋体" w:eastAsia="宋体" w:cs="宋体"/>
                <w:b/>
                <w:bCs/>
                <w:i w:val="0"/>
                <w:iCs w:val="0"/>
                <w:color w:val="000000"/>
                <w:sz w:val="20"/>
                <w:szCs w:val="20"/>
                <w:u w:val="none"/>
              </w:rPr>
            </w:pPr>
          </w:p>
        </w:tc>
        <w:tc>
          <w:tcPr>
            <w:tcW w:w="3507"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1EE2DD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其中：上级补助</w:t>
            </w:r>
          </w:p>
        </w:tc>
        <w:tc>
          <w:tcPr>
            <w:tcW w:w="8346"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14:paraId="49C6AE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10,000,000.00</w:t>
            </w:r>
          </w:p>
        </w:tc>
      </w:tr>
      <w:tr w14:paraId="4B765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3163" w:type="dxa"/>
            <w:gridSpan w:val="2"/>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1E0C8347">
            <w:pPr>
              <w:jc w:val="center"/>
              <w:rPr>
                <w:rFonts w:hint="eastAsia" w:ascii="宋体" w:hAnsi="宋体" w:eastAsia="宋体" w:cs="宋体"/>
                <w:b/>
                <w:bCs/>
                <w:i w:val="0"/>
                <w:iCs w:val="0"/>
                <w:color w:val="000000"/>
                <w:sz w:val="20"/>
                <w:szCs w:val="20"/>
                <w:u w:val="none"/>
              </w:rPr>
            </w:pPr>
          </w:p>
        </w:tc>
        <w:tc>
          <w:tcPr>
            <w:tcW w:w="3507"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6EB694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本级安排</w:t>
            </w:r>
          </w:p>
        </w:tc>
        <w:tc>
          <w:tcPr>
            <w:tcW w:w="8346"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14:paraId="62A7FFA1">
            <w:pPr>
              <w:jc w:val="center"/>
              <w:rPr>
                <w:rFonts w:hint="eastAsia" w:ascii="宋体" w:hAnsi="宋体" w:eastAsia="宋体" w:cs="宋体"/>
                <w:i w:val="0"/>
                <w:iCs w:val="0"/>
                <w:color w:val="000000"/>
                <w:sz w:val="20"/>
                <w:szCs w:val="20"/>
                <w:u w:val="none"/>
              </w:rPr>
            </w:pPr>
          </w:p>
        </w:tc>
      </w:tr>
      <w:tr w14:paraId="3ADEE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3163" w:type="dxa"/>
            <w:gridSpan w:val="2"/>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6735AF44">
            <w:pPr>
              <w:jc w:val="center"/>
              <w:rPr>
                <w:rFonts w:hint="eastAsia" w:ascii="宋体" w:hAnsi="宋体" w:eastAsia="宋体" w:cs="宋体"/>
                <w:b/>
                <w:bCs/>
                <w:i w:val="0"/>
                <w:iCs w:val="0"/>
                <w:color w:val="000000"/>
                <w:sz w:val="20"/>
                <w:szCs w:val="20"/>
                <w:u w:val="none"/>
              </w:rPr>
            </w:pPr>
          </w:p>
        </w:tc>
        <w:tc>
          <w:tcPr>
            <w:tcW w:w="3507"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44EA4F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其他资金</w:t>
            </w:r>
          </w:p>
        </w:tc>
        <w:tc>
          <w:tcPr>
            <w:tcW w:w="8346"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14:paraId="0AFF8D1D">
            <w:pPr>
              <w:jc w:val="center"/>
              <w:rPr>
                <w:rFonts w:hint="eastAsia" w:ascii="宋体" w:hAnsi="宋体" w:eastAsia="宋体" w:cs="宋体"/>
                <w:i w:val="0"/>
                <w:iCs w:val="0"/>
                <w:color w:val="000000"/>
                <w:sz w:val="20"/>
                <w:szCs w:val="20"/>
                <w:u w:val="none"/>
              </w:rPr>
            </w:pPr>
          </w:p>
        </w:tc>
      </w:tr>
      <w:tr w14:paraId="7B1A7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147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A508DD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绩效目标</w:t>
            </w:r>
          </w:p>
        </w:tc>
        <w:tc>
          <w:tcPr>
            <w:tcW w:w="13537" w:type="dxa"/>
            <w:gridSpan w:val="8"/>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F78A6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照《华为（贵阳贵安）数字经济创新中心项目战略合作协议》约定，2025年华为创新中心完成打造5个场景化解决方案，赋能200家企业，为50家企业提供人工智能技术支持，牵引100家企业进行国产化适配，推动10个适配应用上架华为云市场，对150位企业高管进行数字化领导力培训，人才培养1200人次，举办10场技术沙龙，与3家以上的高校开展产教融合合作。</w:t>
            </w:r>
          </w:p>
        </w:tc>
      </w:tr>
      <w:tr w14:paraId="20CAD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7" w:hRule="atLeast"/>
        </w:trPr>
        <w:tc>
          <w:tcPr>
            <w:tcW w:w="147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BB5946D">
            <w:pPr>
              <w:jc w:val="center"/>
              <w:rPr>
                <w:rFonts w:hint="eastAsia" w:ascii="宋体" w:hAnsi="宋体" w:eastAsia="宋体" w:cs="宋体"/>
                <w:b/>
                <w:bCs/>
                <w:i w:val="0"/>
                <w:iCs w:val="0"/>
                <w:color w:val="000000"/>
                <w:sz w:val="20"/>
                <w:szCs w:val="20"/>
                <w:u w:val="none"/>
              </w:rPr>
            </w:pPr>
          </w:p>
        </w:tc>
        <w:tc>
          <w:tcPr>
            <w:tcW w:w="13537" w:type="dxa"/>
            <w:gridSpan w:val="8"/>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C22269">
            <w:pPr>
              <w:jc w:val="center"/>
              <w:rPr>
                <w:rFonts w:hint="eastAsia" w:ascii="宋体" w:hAnsi="宋体" w:eastAsia="宋体" w:cs="宋体"/>
                <w:i w:val="0"/>
                <w:iCs w:val="0"/>
                <w:color w:val="000000"/>
                <w:sz w:val="20"/>
                <w:szCs w:val="20"/>
                <w:u w:val="none"/>
              </w:rPr>
            </w:pPr>
          </w:p>
        </w:tc>
      </w:tr>
      <w:tr w14:paraId="61CEE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147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1BDC32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一级指标</w:t>
            </w:r>
          </w:p>
        </w:tc>
        <w:tc>
          <w:tcPr>
            <w:tcW w:w="16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3E10AA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二级指标</w:t>
            </w:r>
          </w:p>
        </w:tc>
        <w:tc>
          <w:tcPr>
            <w:tcW w:w="222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18B0403">
            <w:pPr>
              <w:keepNext w:val="0"/>
              <w:keepLines w:val="0"/>
              <w:widowControl/>
              <w:suppressLineNumbers w:val="0"/>
              <w:jc w:val="center"/>
              <w:textAlignment w:val="center"/>
              <w:rPr>
                <w:rFonts w:hint="eastAsia" w:ascii="宋体" w:hAnsi="宋体" w:eastAsia="宋体" w:cs="宋体"/>
                <w:b/>
                <w:bCs/>
                <w:i w:val="0"/>
                <w:iCs w:val="0"/>
                <w:color w:val="FF0000"/>
                <w:sz w:val="20"/>
                <w:szCs w:val="20"/>
                <w:u w:val="none"/>
              </w:rPr>
            </w:pPr>
            <w:r>
              <w:rPr>
                <w:rFonts w:hint="eastAsia" w:ascii="宋体" w:hAnsi="宋体" w:eastAsia="宋体" w:cs="宋体"/>
                <w:b/>
                <w:bCs/>
                <w:i w:val="0"/>
                <w:iCs w:val="0"/>
                <w:color w:val="000000"/>
                <w:kern w:val="0"/>
                <w:sz w:val="20"/>
                <w:szCs w:val="20"/>
                <w:u w:val="none"/>
                <w:lang w:val="en-US" w:eastAsia="zh-CN" w:bidi="ar"/>
              </w:rPr>
              <w:t>三级指标</w:t>
            </w:r>
          </w:p>
        </w:tc>
        <w:tc>
          <w:tcPr>
            <w:tcW w:w="342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1DF3BAF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指标值</w:t>
            </w:r>
          </w:p>
        </w:tc>
        <w:tc>
          <w:tcPr>
            <w:tcW w:w="267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8FD2B2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备注（指标解释等）</w:t>
            </w:r>
          </w:p>
        </w:tc>
        <w:tc>
          <w:tcPr>
            <w:tcW w:w="352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311951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指标值说明（评分标准等）</w:t>
            </w:r>
          </w:p>
        </w:tc>
      </w:tr>
      <w:tr w14:paraId="00D52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147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6A9CF7">
            <w:pPr>
              <w:jc w:val="center"/>
              <w:rPr>
                <w:rFonts w:hint="eastAsia" w:ascii="宋体" w:hAnsi="宋体" w:eastAsia="宋体" w:cs="宋体"/>
                <w:b/>
                <w:bCs/>
                <w:i w:val="0"/>
                <w:iCs w:val="0"/>
                <w:color w:val="000000"/>
                <w:sz w:val="20"/>
                <w:szCs w:val="20"/>
                <w:u w:val="none"/>
              </w:rPr>
            </w:pPr>
          </w:p>
        </w:tc>
        <w:tc>
          <w:tcPr>
            <w:tcW w:w="16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9B1D2E">
            <w:pPr>
              <w:jc w:val="center"/>
              <w:rPr>
                <w:rFonts w:hint="eastAsia" w:ascii="宋体" w:hAnsi="宋体" w:eastAsia="宋体" w:cs="宋体"/>
                <w:b/>
                <w:bCs/>
                <w:i w:val="0"/>
                <w:iCs w:val="0"/>
                <w:color w:val="000000"/>
                <w:sz w:val="20"/>
                <w:szCs w:val="20"/>
                <w:u w:val="none"/>
              </w:rPr>
            </w:pPr>
          </w:p>
        </w:tc>
        <w:tc>
          <w:tcPr>
            <w:tcW w:w="22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C2D7598">
            <w:pPr>
              <w:jc w:val="center"/>
              <w:rPr>
                <w:rFonts w:hint="eastAsia" w:ascii="宋体" w:hAnsi="宋体" w:eastAsia="宋体" w:cs="宋体"/>
                <w:b/>
                <w:bCs/>
                <w:i w:val="0"/>
                <w:iCs w:val="0"/>
                <w:color w:val="FF0000"/>
                <w:sz w:val="20"/>
                <w:szCs w:val="20"/>
                <w:u w:val="none"/>
              </w:rPr>
            </w:pPr>
          </w:p>
        </w:tc>
        <w:tc>
          <w:tcPr>
            <w:tcW w:w="1278" w:type="dxa"/>
            <w:tcBorders>
              <w:top w:val="single" w:color="auto" w:sz="4" w:space="0"/>
              <w:left w:val="single" w:color="auto" w:sz="4" w:space="0"/>
              <w:bottom w:val="single" w:color="auto" w:sz="4" w:space="0"/>
              <w:right w:val="single" w:color="auto" w:sz="4" w:space="0"/>
            </w:tcBorders>
            <w:shd w:val="clear" w:color="auto" w:fill="auto"/>
            <w:vAlign w:val="center"/>
          </w:tcPr>
          <w:p w14:paraId="025EFD90">
            <w:pPr>
              <w:keepNext w:val="0"/>
              <w:keepLines w:val="0"/>
              <w:widowControl/>
              <w:suppressLineNumbers w:val="0"/>
              <w:jc w:val="center"/>
              <w:textAlignment w:val="center"/>
              <w:rPr>
                <w:rFonts w:hint="eastAsia" w:ascii="宋体" w:hAnsi="宋体" w:eastAsia="宋体" w:cs="宋体"/>
                <w:b/>
                <w:bCs/>
                <w:i w:val="0"/>
                <w:iCs w:val="0"/>
                <w:color w:val="FF0000"/>
                <w:sz w:val="20"/>
                <w:szCs w:val="20"/>
                <w:u w:val="none"/>
              </w:rPr>
            </w:pPr>
            <w:r>
              <w:rPr>
                <w:rFonts w:hint="eastAsia" w:ascii="宋体" w:hAnsi="宋体" w:eastAsia="宋体" w:cs="宋体"/>
                <w:b/>
                <w:bCs/>
                <w:i w:val="0"/>
                <w:iCs w:val="0"/>
                <w:color w:val="000000"/>
                <w:kern w:val="0"/>
                <w:sz w:val="20"/>
                <w:szCs w:val="20"/>
                <w:u w:val="none"/>
                <w:lang w:val="en-US" w:eastAsia="zh-CN" w:bidi="ar"/>
              </w:rPr>
              <w:t>符号</w:t>
            </w:r>
          </w:p>
        </w:tc>
        <w:tc>
          <w:tcPr>
            <w:tcW w:w="9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B21706E">
            <w:pPr>
              <w:keepNext w:val="0"/>
              <w:keepLines w:val="0"/>
              <w:widowControl/>
              <w:suppressLineNumbers w:val="0"/>
              <w:jc w:val="center"/>
              <w:textAlignment w:val="center"/>
              <w:rPr>
                <w:rFonts w:hint="eastAsia" w:ascii="宋体" w:hAnsi="宋体" w:eastAsia="宋体" w:cs="宋体"/>
                <w:b/>
                <w:bCs/>
                <w:i w:val="0"/>
                <w:iCs w:val="0"/>
                <w:color w:val="FF0000"/>
                <w:sz w:val="20"/>
                <w:szCs w:val="20"/>
                <w:u w:val="none"/>
              </w:rPr>
            </w:pPr>
            <w:r>
              <w:rPr>
                <w:rFonts w:hint="eastAsia" w:ascii="宋体" w:hAnsi="宋体" w:eastAsia="宋体" w:cs="宋体"/>
                <w:b/>
                <w:bCs/>
                <w:i w:val="0"/>
                <w:iCs w:val="0"/>
                <w:color w:val="000000"/>
                <w:kern w:val="0"/>
                <w:sz w:val="20"/>
                <w:szCs w:val="20"/>
                <w:u w:val="none"/>
                <w:lang w:val="en-US" w:eastAsia="zh-CN" w:bidi="ar"/>
              </w:rPr>
              <w:t>值</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14:paraId="26618E1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计量单位</w:t>
            </w:r>
          </w:p>
        </w:tc>
        <w:tc>
          <w:tcPr>
            <w:tcW w:w="26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CECF0C1">
            <w:pPr>
              <w:jc w:val="center"/>
              <w:rPr>
                <w:rFonts w:hint="eastAsia" w:ascii="宋体" w:hAnsi="宋体" w:eastAsia="宋体" w:cs="宋体"/>
                <w:b/>
                <w:bCs/>
                <w:i w:val="0"/>
                <w:iCs w:val="0"/>
                <w:color w:val="000000"/>
                <w:sz w:val="20"/>
                <w:szCs w:val="20"/>
                <w:u w:val="none"/>
              </w:rPr>
            </w:pPr>
          </w:p>
        </w:tc>
        <w:tc>
          <w:tcPr>
            <w:tcW w:w="3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363BDE">
            <w:pPr>
              <w:jc w:val="center"/>
              <w:rPr>
                <w:rFonts w:hint="eastAsia" w:ascii="宋体" w:hAnsi="宋体" w:eastAsia="宋体" w:cs="宋体"/>
                <w:b/>
                <w:bCs/>
                <w:i w:val="0"/>
                <w:iCs w:val="0"/>
                <w:color w:val="000000"/>
                <w:sz w:val="20"/>
                <w:szCs w:val="20"/>
                <w:u w:val="none"/>
              </w:rPr>
            </w:pPr>
          </w:p>
        </w:tc>
      </w:tr>
      <w:tr w14:paraId="6037C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atLeast"/>
        </w:trPr>
        <w:tc>
          <w:tcPr>
            <w:tcW w:w="1479" w:type="dxa"/>
            <w:vMerge w:val="restart"/>
            <w:tcBorders>
              <w:top w:val="single" w:color="auto" w:sz="4" w:space="0"/>
              <w:left w:val="single" w:color="auto" w:sz="4" w:space="0"/>
              <w:right w:val="single" w:color="auto" w:sz="4" w:space="0"/>
            </w:tcBorders>
            <w:shd w:val="clear" w:color="auto" w:fill="auto"/>
            <w:vAlign w:val="center"/>
          </w:tcPr>
          <w:p w14:paraId="0FA32B3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产出指标</w:t>
            </w:r>
          </w:p>
        </w:tc>
        <w:tc>
          <w:tcPr>
            <w:tcW w:w="1684" w:type="dxa"/>
            <w:vMerge w:val="restart"/>
            <w:tcBorders>
              <w:top w:val="single" w:color="auto" w:sz="4" w:space="0"/>
              <w:left w:val="single" w:color="auto" w:sz="4" w:space="0"/>
              <w:right w:val="single" w:color="auto" w:sz="4" w:space="0"/>
            </w:tcBorders>
            <w:shd w:val="clear" w:color="auto" w:fill="auto"/>
            <w:vAlign w:val="center"/>
          </w:tcPr>
          <w:p w14:paraId="75D3FA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2228" w:type="dxa"/>
            <w:tcBorders>
              <w:top w:val="single" w:color="auto" w:sz="4" w:space="0"/>
              <w:left w:val="single" w:color="auto" w:sz="4" w:space="0"/>
              <w:bottom w:val="single" w:color="auto" w:sz="4" w:space="0"/>
              <w:right w:val="single" w:color="auto" w:sz="4" w:space="0"/>
            </w:tcBorders>
            <w:shd w:val="clear" w:color="auto" w:fill="auto"/>
            <w:vAlign w:val="center"/>
          </w:tcPr>
          <w:p w14:paraId="3A414A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数字经济场景化解决方案打造个数</w:t>
            </w:r>
          </w:p>
        </w:tc>
        <w:tc>
          <w:tcPr>
            <w:tcW w:w="1278" w:type="dxa"/>
            <w:tcBorders>
              <w:top w:val="single" w:color="auto" w:sz="4" w:space="0"/>
              <w:left w:val="single" w:color="auto" w:sz="4" w:space="0"/>
              <w:bottom w:val="single" w:color="auto" w:sz="4" w:space="0"/>
              <w:right w:val="single" w:color="auto" w:sz="4" w:space="0"/>
            </w:tcBorders>
            <w:shd w:val="clear" w:color="auto" w:fill="auto"/>
            <w:vAlign w:val="center"/>
          </w:tcPr>
          <w:p w14:paraId="0F20DB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9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F6FB9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14:paraId="041142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672" w:type="dxa"/>
            <w:tcBorders>
              <w:top w:val="single" w:color="auto" w:sz="4" w:space="0"/>
              <w:left w:val="single" w:color="auto" w:sz="4" w:space="0"/>
              <w:bottom w:val="single" w:color="auto" w:sz="4" w:space="0"/>
              <w:right w:val="single" w:color="auto" w:sz="4" w:space="0"/>
            </w:tcBorders>
            <w:shd w:val="clear" w:color="auto" w:fill="auto"/>
            <w:vAlign w:val="center"/>
          </w:tcPr>
          <w:p w14:paraId="56933C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反映本项目实施后，打造数字经济场景化解决方案情况</w:t>
            </w:r>
          </w:p>
        </w:tc>
        <w:tc>
          <w:tcPr>
            <w:tcW w:w="3526" w:type="dxa"/>
            <w:tcBorders>
              <w:top w:val="single" w:color="auto" w:sz="4" w:space="0"/>
              <w:left w:val="single" w:color="auto" w:sz="4" w:space="0"/>
              <w:bottom w:val="single" w:color="auto" w:sz="4" w:space="0"/>
              <w:right w:val="single" w:color="auto" w:sz="4" w:space="0"/>
            </w:tcBorders>
            <w:shd w:val="clear" w:color="auto" w:fill="auto"/>
            <w:vAlign w:val="center"/>
          </w:tcPr>
          <w:p w14:paraId="354094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评分标准：数字经济场景化解决方案打造个数≥5个，得满分，每少1个，扣1分，扣完为止。</w:t>
            </w:r>
          </w:p>
        </w:tc>
      </w:tr>
      <w:tr w14:paraId="3BCBD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atLeast"/>
        </w:trPr>
        <w:tc>
          <w:tcPr>
            <w:tcW w:w="1479" w:type="dxa"/>
            <w:vMerge w:val="continue"/>
            <w:tcBorders>
              <w:left w:val="single" w:color="auto" w:sz="4" w:space="0"/>
              <w:right w:val="single" w:color="auto" w:sz="4" w:space="0"/>
            </w:tcBorders>
            <w:shd w:val="clear" w:color="auto" w:fill="auto"/>
            <w:vAlign w:val="center"/>
          </w:tcPr>
          <w:p w14:paraId="3C2FC637">
            <w:pPr>
              <w:jc w:val="center"/>
              <w:rPr>
                <w:rFonts w:hint="eastAsia" w:ascii="宋体" w:hAnsi="宋体" w:eastAsia="宋体" w:cs="宋体"/>
                <w:b/>
                <w:bCs/>
                <w:i w:val="0"/>
                <w:iCs w:val="0"/>
                <w:color w:val="000000"/>
                <w:sz w:val="20"/>
                <w:szCs w:val="20"/>
                <w:u w:val="none"/>
              </w:rPr>
            </w:pPr>
          </w:p>
        </w:tc>
        <w:tc>
          <w:tcPr>
            <w:tcW w:w="1684" w:type="dxa"/>
            <w:vMerge w:val="continue"/>
            <w:tcBorders>
              <w:left w:val="single" w:color="auto" w:sz="4" w:space="0"/>
              <w:right w:val="single" w:color="auto" w:sz="4" w:space="0"/>
            </w:tcBorders>
            <w:shd w:val="clear" w:color="auto" w:fill="auto"/>
            <w:vAlign w:val="center"/>
          </w:tcPr>
          <w:p w14:paraId="05664F02">
            <w:pPr>
              <w:jc w:val="center"/>
              <w:rPr>
                <w:rFonts w:hint="eastAsia" w:ascii="宋体" w:hAnsi="宋体" w:eastAsia="宋体" w:cs="宋体"/>
                <w:i w:val="0"/>
                <w:iCs w:val="0"/>
                <w:color w:val="000000"/>
                <w:sz w:val="20"/>
                <w:szCs w:val="20"/>
                <w:u w:val="none"/>
              </w:rPr>
            </w:pPr>
          </w:p>
        </w:tc>
        <w:tc>
          <w:tcPr>
            <w:tcW w:w="2228" w:type="dxa"/>
            <w:tcBorders>
              <w:top w:val="single" w:color="auto" w:sz="4" w:space="0"/>
              <w:left w:val="single" w:color="auto" w:sz="4" w:space="0"/>
              <w:bottom w:val="single" w:color="auto" w:sz="4" w:space="0"/>
              <w:right w:val="single" w:color="auto" w:sz="4" w:space="0"/>
            </w:tcBorders>
            <w:shd w:val="clear" w:color="auto" w:fill="auto"/>
            <w:vAlign w:val="center"/>
          </w:tcPr>
          <w:p w14:paraId="719880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数字化转型和软件生态赋能服务家数</w:t>
            </w:r>
          </w:p>
        </w:tc>
        <w:tc>
          <w:tcPr>
            <w:tcW w:w="1278" w:type="dxa"/>
            <w:tcBorders>
              <w:top w:val="single" w:color="auto" w:sz="4" w:space="0"/>
              <w:left w:val="single" w:color="auto" w:sz="4" w:space="0"/>
              <w:bottom w:val="single" w:color="auto" w:sz="4" w:space="0"/>
              <w:right w:val="single" w:color="auto" w:sz="4" w:space="0"/>
            </w:tcBorders>
            <w:shd w:val="clear" w:color="auto" w:fill="auto"/>
            <w:vAlign w:val="center"/>
          </w:tcPr>
          <w:p w14:paraId="0EE25C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9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EEE7E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14:paraId="0E780C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家</w:t>
            </w:r>
          </w:p>
        </w:tc>
        <w:tc>
          <w:tcPr>
            <w:tcW w:w="2672" w:type="dxa"/>
            <w:tcBorders>
              <w:top w:val="single" w:color="auto" w:sz="4" w:space="0"/>
              <w:left w:val="single" w:color="auto" w:sz="4" w:space="0"/>
              <w:bottom w:val="single" w:color="auto" w:sz="4" w:space="0"/>
              <w:right w:val="single" w:color="auto" w:sz="4" w:space="0"/>
            </w:tcBorders>
            <w:shd w:val="clear" w:color="auto" w:fill="auto"/>
            <w:vAlign w:val="center"/>
          </w:tcPr>
          <w:p w14:paraId="208EA0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反映本项目实施后，数字化转型和软件生态赋能服务情况</w:t>
            </w:r>
          </w:p>
        </w:tc>
        <w:tc>
          <w:tcPr>
            <w:tcW w:w="3526" w:type="dxa"/>
            <w:tcBorders>
              <w:top w:val="single" w:color="auto" w:sz="4" w:space="0"/>
              <w:left w:val="single" w:color="auto" w:sz="4" w:space="0"/>
              <w:bottom w:val="single" w:color="auto" w:sz="4" w:space="0"/>
              <w:right w:val="single" w:color="auto" w:sz="4" w:space="0"/>
            </w:tcBorders>
            <w:shd w:val="clear" w:color="auto" w:fill="auto"/>
            <w:vAlign w:val="center"/>
          </w:tcPr>
          <w:p w14:paraId="1EE31A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评分标准：数字化转型和软件生态赋能服务家数≥200家，得满分，每少10个，扣1分，扣完为止。</w:t>
            </w:r>
          </w:p>
        </w:tc>
      </w:tr>
      <w:tr w14:paraId="34DF4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atLeast"/>
        </w:trPr>
        <w:tc>
          <w:tcPr>
            <w:tcW w:w="1479" w:type="dxa"/>
            <w:vMerge w:val="continue"/>
            <w:tcBorders>
              <w:left w:val="single" w:color="auto" w:sz="4" w:space="0"/>
              <w:bottom w:val="single" w:color="auto" w:sz="4" w:space="0"/>
              <w:right w:val="single" w:color="auto" w:sz="4" w:space="0"/>
            </w:tcBorders>
            <w:shd w:val="clear" w:color="auto" w:fill="auto"/>
            <w:vAlign w:val="center"/>
          </w:tcPr>
          <w:p w14:paraId="3CEC0CAE">
            <w:pPr>
              <w:jc w:val="center"/>
              <w:rPr>
                <w:rFonts w:hint="eastAsia" w:ascii="宋体" w:hAnsi="宋体" w:eastAsia="宋体" w:cs="宋体"/>
                <w:b/>
                <w:bCs/>
                <w:i w:val="0"/>
                <w:iCs w:val="0"/>
                <w:color w:val="000000"/>
                <w:sz w:val="20"/>
                <w:szCs w:val="20"/>
                <w:u w:val="none"/>
              </w:rPr>
            </w:pPr>
          </w:p>
        </w:tc>
        <w:tc>
          <w:tcPr>
            <w:tcW w:w="1684" w:type="dxa"/>
            <w:vMerge w:val="continue"/>
            <w:tcBorders>
              <w:left w:val="single" w:color="auto" w:sz="4" w:space="0"/>
              <w:bottom w:val="single" w:color="auto" w:sz="4" w:space="0"/>
              <w:right w:val="single" w:color="auto" w:sz="4" w:space="0"/>
            </w:tcBorders>
            <w:shd w:val="clear" w:color="auto" w:fill="auto"/>
            <w:vAlign w:val="center"/>
          </w:tcPr>
          <w:p w14:paraId="69A55307">
            <w:pPr>
              <w:jc w:val="center"/>
              <w:rPr>
                <w:rFonts w:hint="eastAsia" w:ascii="宋体" w:hAnsi="宋体" w:eastAsia="宋体" w:cs="宋体"/>
                <w:i w:val="0"/>
                <w:iCs w:val="0"/>
                <w:color w:val="000000"/>
                <w:sz w:val="20"/>
                <w:szCs w:val="20"/>
                <w:u w:val="none"/>
              </w:rPr>
            </w:pPr>
          </w:p>
        </w:tc>
        <w:tc>
          <w:tcPr>
            <w:tcW w:w="2228" w:type="dxa"/>
            <w:tcBorders>
              <w:top w:val="single" w:color="auto" w:sz="4" w:space="0"/>
              <w:left w:val="single" w:color="auto" w:sz="4" w:space="0"/>
              <w:bottom w:val="single" w:color="auto" w:sz="4" w:space="0"/>
              <w:right w:val="single" w:color="auto" w:sz="4" w:space="0"/>
            </w:tcBorders>
            <w:shd w:val="clear" w:color="auto" w:fill="auto"/>
            <w:vAlign w:val="center"/>
          </w:tcPr>
          <w:p w14:paraId="33029B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为企业提供人工智能技术支持家数</w:t>
            </w:r>
          </w:p>
        </w:tc>
        <w:tc>
          <w:tcPr>
            <w:tcW w:w="1278" w:type="dxa"/>
            <w:tcBorders>
              <w:top w:val="single" w:color="auto" w:sz="4" w:space="0"/>
              <w:left w:val="single" w:color="auto" w:sz="4" w:space="0"/>
              <w:bottom w:val="single" w:color="auto" w:sz="4" w:space="0"/>
              <w:right w:val="single" w:color="auto" w:sz="4" w:space="0"/>
            </w:tcBorders>
            <w:shd w:val="clear" w:color="auto" w:fill="auto"/>
            <w:vAlign w:val="center"/>
          </w:tcPr>
          <w:p w14:paraId="7EFB9C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9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575D6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14:paraId="45F7CE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家</w:t>
            </w:r>
          </w:p>
        </w:tc>
        <w:tc>
          <w:tcPr>
            <w:tcW w:w="2672" w:type="dxa"/>
            <w:tcBorders>
              <w:top w:val="single" w:color="auto" w:sz="4" w:space="0"/>
              <w:left w:val="single" w:color="auto" w:sz="4" w:space="0"/>
              <w:bottom w:val="single" w:color="auto" w:sz="4" w:space="0"/>
              <w:right w:val="single" w:color="auto" w:sz="4" w:space="0"/>
            </w:tcBorders>
            <w:shd w:val="clear" w:color="auto" w:fill="auto"/>
            <w:vAlign w:val="center"/>
          </w:tcPr>
          <w:p w14:paraId="37C6A2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反映为企业提供人工智能技术支持情况。</w:t>
            </w:r>
          </w:p>
        </w:tc>
        <w:tc>
          <w:tcPr>
            <w:tcW w:w="3526" w:type="dxa"/>
            <w:tcBorders>
              <w:top w:val="single" w:color="auto" w:sz="4" w:space="0"/>
              <w:left w:val="single" w:color="auto" w:sz="4" w:space="0"/>
              <w:bottom w:val="single" w:color="auto" w:sz="4" w:space="0"/>
              <w:right w:val="single" w:color="auto" w:sz="4" w:space="0"/>
            </w:tcBorders>
            <w:shd w:val="clear" w:color="auto" w:fill="auto"/>
            <w:vAlign w:val="center"/>
          </w:tcPr>
          <w:p w14:paraId="73A634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评分标准：为企业提供人工智能技术支持家数≥50家，得满分，每少5家，扣1分，扣完为止。</w:t>
            </w:r>
          </w:p>
        </w:tc>
      </w:tr>
      <w:tr w14:paraId="0863E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atLeast"/>
        </w:trPr>
        <w:tc>
          <w:tcPr>
            <w:tcW w:w="1479" w:type="dxa"/>
            <w:vMerge w:val="restart"/>
            <w:tcBorders>
              <w:top w:val="single" w:color="auto" w:sz="4" w:space="0"/>
              <w:left w:val="single" w:color="auto" w:sz="4" w:space="0"/>
              <w:right w:val="single" w:color="auto" w:sz="4" w:space="0"/>
            </w:tcBorders>
            <w:shd w:val="clear" w:color="auto" w:fill="auto"/>
            <w:vAlign w:val="center"/>
          </w:tcPr>
          <w:p w14:paraId="18C06DBF">
            <w:pPr>
              <w:jc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产出指标</w:t>
            </w:r>
          </w:p>
        </w:tc>
        <w:tc>
          <w:tcPr>
            <w:tcW w:w="1684" w:type="dxa"/>
            <w:vMerge w:val="restart"/>
            <w:tcBorders>
              <w:top w:val="single" w:color="auto" w:sz="4" w:space="0"/>
              <w:left w:val="single" w:color="auto" w:sz="4" w:space="0"/>
              <w:right w:val="single" w:color="auto" w:sz="4" w:space="0"/>
            </w:tcBorders>
            <w:shd w:val="clear" w:color="auto" w:fill="auto"/>
            <w:vAlign w:val="center"/>
          </w:tcPr>
          <w:p w14:paraId="00F49AFA">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2228" w:type="dxa"/>
            <w:tcBorders>
              <w:top w:val="single" w:color="auto" w:sz="4" w:space="0"/>
              <w:left w:val="single" w:color="auto" w:sz="4" w:space="0"/>
              <w:bottom w:val="single" w:color="auto" w:sz="4" w:space="0"/>
              <w:right w:val="single" w:color="auto" w:sz="4" w:space="0"/>
            </w:tcBorders>
            <w:shd w:val="clear" w:color="auto" w:fill="auto"/>
            <w:vAlign w:val="center"/>
          </w:tcPr>
          <w:p w14:paraId="1CF6D9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产品适配认证个数</w:t>
            </w:r>
          </w:p>
        </w:tc>
        <w:tc>
          <w:tcPr>
            <w:tcW w:w="1278" w:type="dxa"/>
            <w:tcBorders>
              <w:top w:val="single" w:color="auto" w:sz="4" w:space="0"/>
              <w:left w:val="single" w:color="auto" w:sz="4" w:space="0"/>
              <w:bottom w:val="single" w:color="auto" w:sz="4" w:space="0"/>
              <w:right w:val="single" w:color="auto" w:sz="4" w:space="0"/>
            </w:tcBorders>
            <w:shd w:val="clear" w:color="auto" w:fill="auto"/>
            <w:vAlign w:val="center"/>
          </w:tcPr>
          <w:p w14:paraId="1AD023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9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FFC06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14:paraId="0D9CFA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672" w:type="dxa"/>
            <w:tcBorders>
              <w:top w:val="single" w:color="auto" w:sz="4" w:space="0"/>
              <w:left w:val="single" w:color="auto" w:sz="4" w:space="0"/>
              <w:bottom w:val="single" w:color="auto" w:sz="4" w:space="0"/>
              <w:right w:val="single" w:color="auto" w:sz="4" w:space="0"/>
            </w:tcBorders>
            <w:shd w:val="clear" w:color="auto" w:fill="auto"/>
            <w:vAlign w:val="center"/>
          </w:tcPr>
          <w:p w14:paraId="55533F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反映本项目实施后，产品适配认证工作情况</w:t>
            </w:r>
          </w:p>
        </w:tc>
        <w:tc>
          <w:tcPr>
            <w:tcW w:w="3526" w:type="dxa"/>
            <w:tcBorders>
              <w:top w:val="single" w:color="auto" w:sz="4" w:space="0"/>
              <w:left w:val="single" w:color="auto" w:sz="4" w:space="0"/>
              <w:bottom w:val="single" w:color="auto" w:sz="4" w:space="0"/>
              <w:right w:val="single" w:color="auto" w:sz="4" w:space="0"/>
            </w:tcBorders>
            <w:shd w:val="clear" w:color="auto" w:fill="auto"/>
            <w:vAlign w:val="center"/>
          </w:tcPr>
          <w:p w14:paraId="17F3A3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评分标准：产品适配认证个数≥100个，得满分，每少5个，扣1分，扣完为止。</w:t>
            </w:r>
          </w:p>
        </w:tc>
      </w:tr>
      <w:tr w14:paraId="32737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atLeast"/>
        </w:trPr>
        <w:tc>
          <w:tcPr>
            <w:tcW w:w="1479" w:type="dxa"/>
            <w:vMerge w:val="continue"/>
            <w:tcBorders>
              <w:left w:val="single" w:color="auto" w:sz="4" w:space="0"/>
              <w:right w:val="single" w:color="auto" w:sz="4" w:space="0"/>
            </w:tcBorders>
            <w:shd w:val="clear" w:color="auto" w:fill="auto"/>
            <w:vAlign w:val="center"/>
          </w:tcPr>
          <w:p w14:paraId="193831A1">
            <w:pPr>
              <w:jc w:val="center"/>
              <w:rPr>
                <w:rFonts w:hint="eastAsia" w:ascii="宋体" w:hAnsi="宋体" w:eastAsia="宋体" w:cs="宋体"/>
                <w:b/>
                <w:bCs/>
                <w:i w:val="0"/>
                <w:iCs w:val="0"/>
                <w:color w:val="000000"/>
                <w:sz w:val="20"/>
                <w:szCs w:val="20"/>
                <w:u w:val="none"/>
              </w:rPr>
            </w:pPr>
          </w:p>
        </w:tc>
        <w:tc>
          <w:tcPr>
            <w:tcW w:w="1684" w:type="dxa"/>
            <w:vMerge w:val="continue"/>
            <w:tcBorders>
              <w:left w:val="single" w:color="auto" w:sz="4" w:space="0"/>
              <w:right w:val="single" w:color="auto" w:sz="4" w:space="0"/>
            </w:tcBorders>
            <w:shd w:val="clear" w:color="auto" w:fill="auto"/>
            <w:vAlign w:val="center"/>
          </w:tcPr>
          <w:p w14:paraId="18411567">
            <w:pPr>
              <w:jc w:val="center"/>
              <w:rPr>
                <w:rFonts w:hint="eastAsia" w:ascii="宋体" w:hAnsi="宋体" w:eastAsia="宋体" w:cs="宋体"/>
                <w:i w:val="0"/>
                <w:iCs w:val="0"/>
                <w:color w:val="000000"/>
                <w:sz w:val="20"/>
                <w:szCs w:val="20"/>
                <w:u w:val="none"/>
              </w:rPr>
            </w:pPr>
          </w:p>
        </w:tc>
        <w:tc>
          <w:tcPr>
            <w:tcW w:w="2228" w:type="dxa"/>
            <w:tcBorders>
              <w:top w:val="single" w:color="auto" w:sz="4" w:space="0"/>
              <w:left w:val="single" w:color="auto" w:sz="4" w:space="0"/>
              <w:bottom w:val="single" w:color="auto" w:sz="4" w:space="0"/>
              <w:right w:val="single" w:color="auto" w:sz="4" w:space="0"/>
            </w:tcBorders>
            <w:shd w:val="clear" w:color="auto" w:fill="auto"/>
            <w:vAlign w:val="center"/>
          </w:tcPr>
          <w:p w14:paraId="63230D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推动适配应用上架华为云市场个数</w:t>
            </w:r>
          </w:p>
        </w:tc>
        <w:tc>
          <w:tcPr>
            <w:tcW w:w="1278" w:type="dxa"/>
            <w:tcBorders>
              <w:top w:val="single" w:color="auto" w:sz="4" w:space="0"/>
              <w:left w:val="single" w:color="auto" w:sz="4" w:space="0"/>
              <w:bottom w:val="single" w:color="auto" w:sz="4" w:space="0"/>
              <w:right w:val="single" w:color="auto" w:sz="4" w:space="0"/>
            </w:tcBorders>
            <w:shd w:val="clear" w:color="auto" w:fill="auto"/>
            <w:vAlign w:val="center"/>
          </w:tcPr>
          <w:p w14:paraId="67C546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9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B4B73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14:paraId="5B4DB3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672" w:type="dxa"/>
            <w:tcBorders>
              <w:top w:val="single" w:color="auto" w:sz="4" w:space="0"/>
              <w:left w:val="single" w:color="auto" w:sz="4" w:space="0"/>
              <w:bottom w:val="single" w:color="auto" w:sz="4" w:space="0"/>
              <w:right w:val="single" w:color="auto" w:sz="4" w:space="0"/>
            </w:tcBorders>
            <w:shd w:val="clear" w:color="auto" w:fill="auto"/>
            <w:vAlign w:val="center"/>
          </w:tcPr>
          <w:p w14:paraId="15056E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反映本项目实施后，推动适配应用上架华为云市场情况</w:t>
            </w:r>
          </w:p>
        </w:tc>
        <w:tc>
          <w:tcPr>
            <w:tcW w:w="3526" w:type="dxa"/>
            <w:tcBorders>
              <w:top w:val="single" w:color="auto" w:sz="4" w:space="0"/>
              <w:left w:val="single" w:color="auto" w:sz="4" w:space="0"/>
              <w:bottom w:val="single" w:color="auto" w:sz="4" w:space="0"/>
              <w:right w:val="single" w:color="auto" w:sz="4" w:space="0"/>
            </w:tcBorders>
            <w:shd w:val="clear" w:color="auto" w:fill="auto"/>
            <w:vAlign w:val="center"/>
          </w:tcPr>
          <w:p w14:paraId="570BD4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评分标准：推动适配应用上架华为云市场个数≥10个，得满分，每少1个扣1分，扣完为止。</w:t>
            </w:r>
          </w:p>
        </w:tc>
      </w:tr>
      <w:tr w14:paraId="2E982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atLeast"/>
        </w:trPr>
        <w:tc>
          <w:tcPr>
            <w:tcW w:w="1479" w:type="dxa"/>
            <w:vMerge w:val="continue"/>
            <w:tcBorders>
              <w:left w:val="single" w:color="auto" w:sz="4" w:space="0"/>
              <w:right w:val="single" w:color="auto" w:sz="4" w:space="0"/>
            </w:tcBorders>
            <w:shd w:val="clear" w:color="auto" w:fill="auto"/>
            <w:vAlign w:val="center"/>
          </w:tcPr>
          <w:p w14:paraId="289CCB40">
            <w:pPr>
              <w:jc w:val="center"/>
              <w:rPr>
                <w:rFonts w:hint="eastAsia" w:ascii="宋体" w:hAnsi="宋体" w:eastAsia="宋体" w:cs="宋体"/>
                <w:b/>
                <w:bCs/>
                <w:i w:val="0"/>
                <w:iCs w:val="0"/>
                <w:color w:val="000000"/>
                <w:sz w:val="20"/>
                <w:szCs w:val="20"/>
                <w:u w:val="none"/>
              </w:rPr>
            </w:pPr>
          </w:p>
        </w:tc>
        <w:tc>
          <w:tcPr>
            <w:tcW w:w="1684" w:type="dxa"/>
            <w:vMerge w:val="continue"/>
            <w:tcBorders>
              <w:left w:val="single" w:color="auto" w:sz="4" w:space="0"/>
              <w:right w:val="single" w:color="auto" w:sz="4" w:space="0"/>
            </w:tcBorders>
            <w:shd w:val="clear" w:color="auto" w:fill="auto"/>
            <w:vAlign w:val="center"/>
          </w:tcPr>
          <w:p w14:paraId="5DCE3358">
            <w:pPr>
              <w:jc w:val="center"/>
              <w:rPr>
                <w:rFonts w:hint="eastAsia" w:ascii="宋体" w:hAnsi="宋体" w:eastAsia="宋体" w:cs="宋体"/>
                <w:i w:val="0"/>
                <w:iCs w:val="0"/>
                <w:color w:val="000000"/>
                <w:sz w:val="20"/>
                <w:szCs w:val="20"/>
                <w:u w:val="none"/>
              </w:rPr>
            </w:pPr>
          </w:p>
        </w:tc>
        <w:tc>
          <w:tcPr>
            <w:tcW w:w="2228" w:type="dxa"/>
            <w:tcBorders>
              <w:top w:val="single" w:color="auto" w:sz="4" w:space="0"/>
              <w:left w:val="single" w:color="auto" w:sz="4" w:space="0"/>
              <w:bottom w:val="single" w:color="auto" w:sz="4" w:space="0"/>
              <w:right w:val="single" w:color="auto" w:sz="4" w:space="0"/>
            </w:tcBorders>
            <w:shd w:val="clear" w:color="auto" w:fill="auto"/>
            <w:vAlign w:val="center"/>
          </w:tcPr>
          <w:p w14:paraId="236D48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举办技术沙龙场数</w:t>
            </w:r>
          </w:p>
        </w:tc>
        <w:tc>
          <w:tcPr>
            <w:tcW w:w="1278" w:type="dxa"/>
            <w:tcBorders>
              <w:top w:val="single" w:color="auto" w:sz="4" w:space="0"/>
              <w:left w:val="single" w:color="auto" w:sz="4" w:space="0"/>
              <w:bottom w:val="single" w:color="auto" w:sz="4" w:space="0"/>
              <w:right w:val="single" w:color="auto" w:sz="4" w:space="0"/>
            </w:tcBorders>
            <w:shd w:val="clear" w:color="auto" w:fill="auto"/>
            <w:vAlign w:val="center"/>
          </w:tcPr>
          <w:p w14:paraId="7D7EE2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9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5EEF1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14:paraId="65FA89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场</w:t>
            </w:r>
          </w:p>
        </w:tc>
        <w:tc>
          <w:tcPr>
            <w:tcW w:w="2672" w:type="dxa"/>
            <w:tcBorders>
              <w:top w:val="single" w:color="auto" w:sz="4" w:space="0"/>
              <w:left w:val="single" w:color="auto" w:sz="4" w:space="0"/>
              <w:bottom w:val="single" w:color="auto" w:sz="4" w:space="0"/>
              <w:right w:val="single" w:color="auto" w:sz="4" w:space="0"/>
            </w:tcBorders>
            <w:shd w:val="clear" w:color="auto" w:fill="auto"/>
            <w:vAlign w:val="center"/>
          </w:tcPr>
          <w:p w14:paraId="6A6C85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反映本项目实施后，举办技术沙龙情况</w:t>
            </w:r>
          </w:p>
        </w:tc>
        <w:tc>
          <w:tcPr>
            <w:tcW w:w="3526" w:type="dxa"/>
            <w:tcBorders>
              <w:top w:val="single" w:color="auto" w:sz="4" w:space="0"/>
              <w:left w:val="single" w:color="auto" w:sz="4" w:space="0"/>
              <w:bottom w:val="single" w:color="auto" w:sz="4" w:space="0"/>
              <w:right w:val="single" w:color="auto" w:sz="4" w:space="0"/>
            </w:tcBorders>
            <w:shd w:val="clear" w:color="auto" w:fill="auto"/>
            <w:vAlign w:val="center"/>
          </w:tcPr>
          <w:p w14:paraId="6A8987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评分标准：举办技术沙龙场数≥10场，得满分，每少1场扣1分，扣完为止。</w:t>
            </w:r>
          </w:p>
        </w:tc>
      </w:tr>
      <w:tr w14:paraId="66521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atLeast"/>
        </w:trPr>
        <w:tc>
          <w:tcPr>
            <w:tcW w:w="1479" w:type="dxa"/>
            <w:vMerge w:val="continue"/>
            <w:tcBorders>
              <w:left w:val="single" w:color="auto" w:sz="4" w:space="0"/>
              <w:right w:val="single" w:color="auto" w:sz="4" w:space="0"/>
            </w:tcBorders>
            <w:shd w:val="clear" w:color="auto" w:fill="auto"/>
            <w:vAlign w:val="center"/>
          </w:tcPr>
          <w:p w14:paraId="6D34D16E">
            <w:pPr>
              <w:jc w:val="center"/>
              <w:rPr>
                <w:rFonts w:hint="eastAsia" w:ascii="宋体" w:hAnsi="宋体" w:eastAsia="宋体" w:cs="宋体"/>
                <w:b/>
                <w:bCs/>
                <w:i w:val="0"/>
                <w:iCs w:val="0"/>
                <w:color w:val="000000"/>
                <w:sz w:val="20"/>
                <w:szCs w:val="20"/>
                <w:u w:val="none"/>
              </w:rPr>
            </w:pPr>
          </w:p>
        </w:tc>
        <w:tc>
          <w:tcPr>
            <w:tcW w:w="1684" w:type="dxa"/>
            <w:vMerge w:val="continue"/>
            <w:tcBorders>
              <w:left w:val="single" w:color="auto" w:sz="4" w:space="0"/>
              <w:bottom w:val="single" w:color="auto" w:sz="4" w:space="0"/>
              <w:right w:val="single" w:color="auto" w:sz="4" w:space="0"/>
            </w:tcBorders>
            <w:shd w:val="clear" w:color="auto" w:fill="auto"/>
            <w:vAlign w:val="center"/>
          </w:tcPr>
          <w:p w14:paraId="5ADDB946">
            <w:pPr>
              <w:jc w:val="center"/>
              <w:rPr>
                <w:rFonts w:hint="eastAsia" w:ascii="宋体" w:hAnsi="宋体" w:eastAsia="宋体" w:cs="宋体"/>
                <w:i w:val="0"/>
                <w:iCs w:val="0"/>
                <w:color w:val="000000"/>
                <w:sz w:val="20"/>
                <w:szCs w:val="20"/>
                <w:u w:val="none"/>
              </w:rPr>
            </w:pPr>
          </w:p>
        </w:tc>
        <w:tc>
          <w:tcPr>
            <w:tcW w:w="2228" w:type="dxa"/>
            <w:tcBorders>
              <w:top w:val="single" w:color="auto" w:sz="4" w:space="0"/>
              <w:left w:val="single" w:color="auto" w:sz="4" w:space="0"/>
              <w:bottom w:val="single" w:color="auto" w:sz="4" w:space="0"/>
              <w:right w:val="single" w:color="auto" w:sz="4" w:space="0"/>
            </w:tcBorders>
            <w:shd w:val="clear" w:color="auto" w:fill="auto"/>
            <w:vAlign w:val="center"/>
          </w:tcPr>
          <w:p w14:paraId="173FC2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举办开发者或鲲鹏应用大赛场数</w:t>
            </w:r>
          </w:p>
        </w:tc>
        <w:tc>
          <w:tcPr>
            <w:tcW w:w="1278" w:type="dxa"/>
            <w:tcBorders>
              <w:top w:val="single" w:color="auto" w:sz="4" w:space="0"/>
              <w:left w:val="single" w:color="auto" w:sz="4" w:space="0"/>
              <w:bottom w:val="single" w:color="auto" w:sz="4" w:space="0"/>
              <w:right w:val="single" w:color="auto" w:sz="4" w:space="0"/>
            </w:tcBorders>
            <w:shd w:val="clear" w:color="auto" w:fill="auto"/>
            <w:vAlign w:val="center"/>
          </w:tcPr>
          <w:p w14:paraId="4E7173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9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5E50B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14:paraId="15D615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场</w:t>
            </w:r>
          </w:p>
        </w:tc>
        <w:tc>
          <w:tcPr>
            <w:tcW w:w="2672" w:type="dxa"/>
            <w:tcBorders>
              <w:top w:val="single" w:color="auto" w:sz="4" w:space="0"/>
              <w:left w:val="single" w:color="auto" w:sz="4" w:space="0"/>
              <w:bottom w:val="single" w:color="auto" w:sz="4" w:space="0"/>
              <w:right w:val="single" w:color="auto" w:sz="4" w:space="0"/>
            </w:tcBorders>
            <w:shd w:val="clear" w:color="auto" w:fill="auto"/>
            <w:vAlign w:val="center"/>
          </w:tcPr>
          <w:p w14:paraId="7AC5FA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反映举办开发者或鲲鹏应用大赛情况</w:t>
            </w:r>
          </w:p>
        </w:tc>
        <w:tc>
          <w:tcPr>
            <w:tcW w:w="3526" w:type="dxa"/>
            <w:tcBorders>
              <w:top w:val="single" w:color="auto" w:sz="4" w:space="0"/>
              <w:left w:val="single" w:color="auto" w:sz="4" w:space="0"/>
              <w:bottom w:val="single" w:color="auto" w:sz="4" w:space="0"/>
              <w:right w:val="single" w:color="auto" w:sz="4" w:space="0"/>
            </w:tcBorders>
            <w:shd w:val="clear" w:color="auto" w:fill="auto"/>
            <w:vAlign w:val="center"/>
          </w:tcPr>
          <w:p w14:paraId="330537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评分标准：举办开发者或鲲鹏应用大赛场数≥1场，得满分，否则不得分。</w:t>
            </w:r>
          </w:p>
        </w:tc>
      </w:tr>
      <w:tr w14:paraId="20289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1479" w:type="dxa"/>
            <w:vMerge w:val="continue"/>
            <w:tcBorders>
              <w:left w:val="single" w:color="auto" w:sz="4" w:space="0"/>
              <w:right w:val="single" w:color="auto" w:sz="4" w:space="0"/>
            </w:tcBorders>
            <w:shd w:val="clear" w:color="auto" w:fill="auto"/>
            <w:vAlign w:val="center"/>
          </w:tcPr>
          <w:p w14:paraId="1732127E">
            <w:pPr>
              <w:jc w:val="center"/>
              <w:rPr>
                <w:rFonts w:hint="eastAsia" w:ascii="宋体" w:hAnsi="宋体" w:eastAsia="宋体" w:cs="宋体"/>
                <w:b/>
                <w:bCs/>
                <w:i w:val="0"/>
                <w:iCs w:val="0"/>
                <w:color w:val="000000"/>
                <w:sz w:val="20"/>
                <w:szCs w:val="20"/>
                <w:u w:val="none"/>
              </w:rPr>
            </w:pPr>
          </w:p>
        </w:tc>
        <w:tc>
          <w:tcPr>
            <w:tcW w:w="1684" w:type="dxa"/>
            <w:tcBorders>
              <w:top w:val="single" w:color="auto" w:sz="4" w:space="0"/>
              <w:left w:val="single" w:color="auto" w:sz="4" w:space="0"/>
              <w:bottom w:val="single" w:color="auto" w:sz="4" w:space="0"/>
              <w:right w:val="single" w:color="auto" w:sz="4" w:space="0"/>
            </w:tcBorders>
            <w:shd w:val="clear" w:color="auto" w:fill="auto"/>
            <w:vAlign w:val="center"/>
          </w:tcPr>
          <w:p w14:paraId="033743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2228" w:type="dxa"/>
            <w:tcBorders>
              <w:top w:val="single" w:color="auto" w:sz="4" w:space="0"/>
              <w:left w:val="single" w:color="auto" w:sz="4" w:space="0"/>
              <w:bottom w:val="single" w:color="auto" w:sz="4" w:space="0"/>
              <w:right w:val="single" w:color="auto" w:sz="4" w:space="0"/>
            </w:tcBorders>
            <w:shd w:val="clear" w:color="auto" w:fill="auto"/>
            <w:vAlign w:val="center"/>
          </w:tcPr>
          <w:p w14:paraId="6D902A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项目验收通过率</w:t>
            </w:r>
          </w:p>
        </w:tc>
        <w:tc>
          <w:tcPr>
            <w:tcW w:w="1278" w:type="dxa"/>
            <w:tcBorders>
              <w:top w:val="single" w:color="auto" w:sz="4" w:space="0"/>
              <w:left w:val="single" w:color="auto" w:sz="4" w:space="0"/>
              <w:bottom w:val="single" w:color="auto" w:sz="4" w:space="0"/>
              <w:right w:val="single" w:color="auto" w:sz="4" w:space="0"/>
            </w:tcBorders>
            <w:shd w:val="clear" w:color="auto" w:fill="auto"/>
            <w:vAlign w:val="center"/>
          </w:tcPr>
          <w:p w14:paraId="7D6866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9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111D7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14:paraId="5466D1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672" w:type="dxa"/>
            <w:tcBorders>
              <w:top w:val="single" w:color="auto" w:sz="4" w:space="0"/>
              <w:left w:val="single" w:color="auto" w:sz="4" w:space="0"/>
              <w:bottom w:val="single" w:color="auto" w:sz="4" w:space="0"/>
              <w:right w:val="single" w:color="auto" w:sz="4" w:space="0"/>
            </w:tcBorders>
            <w:shd w:val="clear" w:color="auto" w:fill="auto"/>
            <w:vAlign w:val="center"/>
          </w:tcPr>
          <w:p w14:paraId="2963CD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反映项目是否通过每年专家评审验收</w:t>
            </w:r>
          </w:p>
        </w:tc>
        <w:tc>
          <w:tcPr>
            <w:tcW w:w="3526" w:type="dxa"/>
            <w:tcBorders>
              <w:top w:val="single" w:color="auto" w:sz="4" w:space="0"/>
              <w:left w:val="single" w:color="auto" w:sz="4" w:space="0"/>
              <w:bottom w:val="single" w:color="auto" w:sz="4" w:space="0"/>
              <w:right w:val="single" w:color="auto" w:sz="4" w:space="0"/>
            </w:tcBorders>
            <w:shd w:val="clear" w:color="auto" w:fill="auto"/>
            <w:vAlign w:val="center"/>
          </w:tcPr>
          <w:p w14:paraId="307038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评分标准：验收通过率=100%，得满分，否则不得分。</w:t>
            </w:r>
          </w:p>
        </w:tc>
      </w:tr>
      <w:tr w14:paraId="754AC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atLeast"/>
        </w:trPr>
        <w:tc>
          <w:tcPr>
            <w:tcW w:w="1479" w:type="dxa"/>
            <w:vMerge w:val="continue"/>
            <w:tcBorders>
              <w:left w:val="single" w:color="auto" w:sz="4" w:space="0"/>
              <w:right w:val="single" w:color="auto" w:sz="4" w:space="0"/>
            </w:tcBorders>
            <w:shd w:val="clear" w:color="auto" w:fill="auto"/>
            <w:vAlign w:val="center"/>
          </w:tcPr>
          <w:p w14:paraId="106437D7">
            <w:pPr>
              <w:jc w:val="center"/>
              <w:rPr>
                <w:rFonts w:hint="eastAsia" w:ascii="宋体" w:hAnsi="宋体" w:eastAsia="宋体" w:cs="宋体"/>
                <w:b/>
                <w:bCs/>
                <w:i w:val="0"/>
                <w:iCs w:val="0"/>
                <w:color w:val="000000"/>
                <w:sz w:val="20"/>
                <w:szCs w:val="20"/>
                <w:u w:val="none"/>
              </w:rPr>
            </w:pPr>
          </w:p>
        </w:tc>
        <w:tc>
          <w:tcPr>
            <w:tcW w:w="1684" w:type="dxa"/>
            <w:tcBorders>
              <w:top w:val="single" w:color="auto" w:sz="4" w:space="0"/>
              <w:left w:val="single" w:color="auto" w:sz="4" w:space="0"/>
              <w:bottom w:val="single" w:color="auto" w:sz="4" w:space="0"/>
              <w:right w:val="single" w:color="auto" w:sz="4" w:space="0"/>
            </w:tcBorders>
            <w:shd w:val="clear" w:color="auto" w:fill="auto"/>
            <w:vAlign w:val="center"/>
          </w:tcPr>
          <w:p w14:paraId="3FAA96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2228" w:type="dxa"/>
            <w:tcBorders>
              <w:top w:val="single" w:color="auto" w:sz="4" w:space="0"/>
              <w:left w:val="single" w:color="auto" w:sz="4" w:space="0"/>
              <w:bottom w:val="single" w:color="auto" w:sz="4" w:space="0"/>
              <w:right w:val="single" w:color="auto" w:sz="4" w:space="0"/>
            </w:tcBorders>
            <w:shd w:val="clear" w:color="auto" w:fill="auto"/>
            <w:vAlign w:val="center"/>
          </w:tcPr>
          <w:p w14:paraId="2FDF2E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项目完成时间</w:t>
            </w:r>
          </w:p>
        </w:tc>
        <w:tc>
          <w:tcPr>
            <w:tcW w:w="1278" w:type="dxa"/>
            <w:tcBorders>
              <w:top w:val="single" w:color="auto" w:sz="4" w:space="0"/>
              <w:left w:val="single" w:color="auto" w:sz="4" w:space="0"/>
              <w:bottom w:val="single" w:color="auto" w:sz="4" w:space="0"/>
              <w:right w:val="single" w:color="auto" w:sz="4" w:space="0"/>
            </w:tcBorders>
            <w:shd w:val="clear" w:color="auto" w:fill="auto"/>
            <w:vAlign w:val="center"/>
          </w:tcPr>
          <w:p w14:paraId="2E49FB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9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D19B9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2025年6月</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14:paraId="32F29D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2025年6月</w:t>
            </w:r>
          </w:p>
        </w:tc>
        <w:tc>
          <w:tcPr>
            <w:tcW w:w="2672" w:type="dxa"/>
            <w:tcBorders>
              <w:top w:val="single" w:color="auto" w:sz="4" w:space="0"/>
              <w:left w:val="single" w:color="auto" w:sz="4" w:space="0"/>
              <w:bottom w:val="single" w:color="auto" w:sz="4" w:space="0"/>
              <w:right w:val="single" w:color="auto" w:sz="4" w:space="0"/>
            </w:tcBorders>
            <w:shd w:val="clear" w:color="auto" w:fill="auto"/>
            <w:vAlign w:val="center"/>
          </w:tcPr>
          <w:p w14:paraId="7F68B1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反映项目是否在协议约定时间2025年6月之前完成</w:t>
            </w:r>
          </w:p>
        </w:tc>
        <w:tc>
          <w:tcPr>
            <w:tcW w:w="3526" w:type="dxa"/>
            <w:tcBorders>
              <w:top w:val="single" w:color="auto" w:sz="4" w:space="0"/>
              <w:left w:val="single" w:color="auto" w:sz="4" w:space="0"/>
              <w:bottom w:val="single" w:color="auto" w:sz="4" w:space="0"/>
              <w:right w:val="single" w:color="auto" w:sz="4" w:space="0"/>
            </w:tcBorders>
            <w:shd w:val="clear" w:color="auto" w:fill="auto"/>
            <w:vAlign w:val="center"/>
          </w:tcPr>
          <w:p w14:paraId="47404F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评分标准：按期完成得满分，否则不得分。</w:t>
            </w:r>
          </w:p>
        </w:tc>
      </w:tr>
      <w:tr w14:paraId="63AA0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atLeast"/>
        </w:trPr>
        <w:tc>
          <w:tcPr>
            <w:tcW w:w="1479" w:type="dxa"/>
            <w:vMerge w:val="continue"/>
            <w:tcBorders>
              <w:left w:val="single" w:color="auto" w:sz="4" w:space="0"/>
              <w:bottom w:val="single" w:color="auto" w:sz="4" w:space="0"/>
              <w:right w:val="single" w:color="auto" w:sz="4" w:space="0"/>
            </w:tcBorders>
            <w:shd w:val="clear" w:color="auto" w:fill="auto"/>
            <w:vAlign w:val="center"/>
          </w:tcPr>
          <w:p w14:paraId="10C06495">
            <w:pPr>
              <w:jc w:val="center"/>
              <w:rPr>
                <w:rFonts w:hint="eastAsia" w:ascii="宋体" w:hAnsi="宋体" w:eastAsia="宋体" w:cs="宋体"/>
                <w:b/>
                <w:bCs/>
                <w:i w:val="0"/>
                <w:iCs w:val="0"/>
                <w:color w:val="000000"/>
                <w:sz w:val="20"/>
                <w:szCs w:val="20"/>
                <w:u w:val="none"/>
              </w:rPr>
            </w:pPr>
          </w:p>
        </w:tc>
        <w:tc>
          <w:tcPr>
            <w:tcW w:w="1684" w:type="dxa"/>
            <w:tcBorders>
              <w:top w:val="single" w:color="auto" w:sz="4" w:space="0"/>
              <w:left w:val="single" w:color="auto" w:sz="4" w:space="0"/>
              <w:bottom w:val="single" w:color="auto" w:sz="4" w:space="0"/>
              <w:right w:val="single" w:color="auto" w:sz="4" w:space="0"/>
            </w:tcBorders>
            <w:shd w:val="clear" w:color="auto" w:fill="auto"/>
            <w:vAlign w:val="center"/>
          </w:tcPr>
          <w:p w14:paraId="021E78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2228" w:type="dxa"/>
            <w:tcBorders>
              <w:top w:val="single" w:color="auto" w:sz="4" w:space="0"/>
              <w:left w:val="single" w:color="auto" w:sz="4" w:space="0"/>
              <w:bottom w:val="single" w:color="auto" w:sz="4" w:space="0"/>
              <w:right w:val="single" w:color="auto" w:sz="4" w:space="0"/>
            </w:tcBorders>
            <w:shd w:val="clear" w:color="auto" w:fill="auto"/>
            <w:vAlign w:val="center"/>
          </w:tcPr>
          <w:p w14:paraId="1B5FF3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扶持资金拨付金额</w:t>
            </w:r>
          </w:p>
        </w:tc>
        <w:tc>
          <w:tcPr>
            <w:tcW w:w="1278" w:type="dxa"/>
            <w:tcBorders>
              <w:top w:val="single" w:color="auto" w:sz="4" w:space="0"/>
              <w:left w:val="single" w:color="auto" w:sz="4" w:space="0"/>
              <w:bottom w:val="single" w:color="auto" w:sz="4" w:space="0"/>
              <w:right w:val="single" w:color="auto" w:sz="4" w:space="0"/>
            </w:tcBorders>
            <w:shd w:val="clear" w:color="auto" w:fill="auto"/>
            <w:vAlign w:val="center"/>
          </w:tcPr>
          <w:p w14:paraId="4DD189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9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33429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10000000</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14:paraId="07EB5E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w:t>
            </w:r>
          </w:p>
        </w:tc>
        <w:tc>
          <w:tcPr>
            <w:tcW w:w="2672" w:type="dxa"/>
            <w:tcBorders>
              <w:top w:val="single" w:color="auto" w:sz="4" w:space="0"/>
              <w:left w:val="single" w:color="auto" w:sz="4" w:space="0"/>
              <w:bottom w:val="single" w:color="auto" w:sz="4" w:space="0"/>
              <w:right w:val="single" w:color="auto" w:sz="4" w:space="0"/>
            </w:tcBorders>
            <w:shd w:val="clear" w:color="auto" w:fill="auto"/>
            <w:vAlign w:val="center"/>
          </w:tcPr>
          <w:p w14:paraId="790CF6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反映扶持资金拨付情况</w:t>
            </w:r>
          </w:p>
        </w:tc>
        <w:tc>
          <w:tcPr>
            <w:tcW w:w="3526" w:type="dxa"/>
            <w:tcBorders>
              <w:top w:val="single" w:color="auto" w:sz="4" w:space="0"/>
              <w:left w:val="single" w:color="auto" w:sz="4" w:space="0"/>
              <w:bottom w:val="single" w:color="auto" w:sz="4" w:space="0"/>
              <w:right w:val="single" w:color="auto" w:sz="4" w:space="0"/>
            </w:tcBorders>
            <w:shd w:val="clear" w:color="auto" w:fill="auto"/>
            <w:vAlign w:val="center"/>
          </w:tcPr>
          <w:p w14:paraId="5C8357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评分标准：扶持资金拨付金额≤10000000元，得满分，否则不得分。</w:t>
            </w:r>
          </w:p>
        </w:tc>
      </w:tr>
      <w:tr w14:paraId="60F3F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 w:hRule="atLeast"/>
        </w:trPr>
        <w:tc>
          <w:tcPr>
            <w:tcW w:w="1479" w:type="dxa"/>
            <w:tcBorders>
              <w:top w:val="single" w:color="auto" w:sz="4" w:space="0"/>
              <w:left w:val="single" w:color="auto" w:sz="4" w:space="0"/>
              <w:bottom w:val="single" w:color="auto" w:sz="4" w:space="0"/>
              <w:right w:val="single" w:color="auto" w:sz="4" w:space="0"/>
            </w:tcBorders>
            <w:shd w:val="clear" w:color="auto" w:fill="auto"/>
            <w:vAlign w:val="center"/>
          </w:tcPr>
          <w:p w14:paraId="1AE0A0F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效益指标</w:t>
            </w:r>
          </w:p>
        </w:tc>
        <w:tc>
          <w:tcPr>
            <w:tcW w:w="1684" w:type="dxa"/>
            <w:tcBorders>
              <w:top w:val="single" w:color="auto" w:sz="4" w:space="0"/>
              <w:left w:val="single" w:color="auto" w:sz="4" w:space="0"/>
              <w:bottom w:val="single" w:color="auto" w:sz="4" w:space="0"/>
              <w:right w:val="single" w:color="auto" w:sz="4" w:space="0"/>
            </w:tcBorders>
            <w:shd w:val="clear" w:color="auto" w:fill="auto"/>
            <w:vAlign w:val="center"/>
          </w:tcPr>
          <w:p w14:paraId="207934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2228" w:type="dxa"/>
            <w:tcBorders>
              <w:top w:val="single" w:color="auto" w:sz="4" w:space="0"/>
              <w:left w:val="single" w:color="auto" w:sz="4" w:space="0"/>
              <w:bottom w:val="single" w:color="auto" w:sz="4" w:space="0"/>
              <w:right w:val="single" w:color="auto" w:sz="4" w:space="0"/>
            </w:tcBorders>
            <w:shd w:val="clear" w:color="auto" w:fill="auto"/>
            <w:vAlign w:val="center"/>
          </w:tcPr>
          <w:p w14:paraId="108421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人才培养人数</w:t>
            </w:r>
          </w:p>
        </w:tc>
        <w:tc>
          <w:tcPr>
            <w:tcW w:w="1278" w:type="dxa"/>
            <w:tcBorders>
              <w:top w:val="single" w:color="auto" w:sz="4" w:space="0"/>
              <w:left w:val="single" w:color="auto" w:sz="4" w:space="0"/>
              <w:bottom w:val="single" w:color="auto" w:sz="4" w:space="0"/>
              <w:right w:val="single" w:color="auto" w:sz="4" w:space="0"/>
            </w:tcBorders>
            <w:shd w:val="clear" w:color="auto" w:fill="auto"/>
            <w:vAlign w:val="center"/>
          </w:tcPr>
          <w:p w14:paraId="0052A1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9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DE224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14:paraId="5BF508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w:t>
            </w:r>
          </w:p>
        </w:tc>
        <w:tc>
          <w:tcPr>
            <w:tcW w:w="2672" w:type="dxa"/>
            <w:tcBorders>
              <w:top w:val="single" w:color="auto" w:sz="4" w:space="0"/>
              <w:left w:val="single" w:color="auto" w:sz="4" w:space="0"/>
              <w:bottom w:val="single" w:color="auto" w:sz="4" w:space="0"/>
              <w:right w:val="single" w:color="auto" w:sz="4" w:space="0"/>
            </w:tcBorders>
            <w:shd w:val="clear" w:color="auto" w:fill="auto"/>
            <w:vAlign w:val="center"/>
          </w:tcPr>
          <w:p w14:paraId="6B8FD5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反映项目实施后，人才培养情况</w:t>
            </w:r>
          </w:p>
        </w:tc>
        <w:tc>
          <w:tcPr>
            <w:tcW w:w="3526" w:type="dxa"/>
            <w:tcBorders>
              <w:top w:val="single" w:color="auto" w:sz="4" w:space="0"/>
              <w:left w:val="single" w:color="auto" w:sz="4" w:space="0"/>
              <w:bottom w:val="single" w:color="auto" w:sz="4" w:space="0"/>
              <w:right w:val="single" w:color="auto" w:sz="4" w:space="0"/>
            </w:tcBorders>
            <w:shd w:val="clear" w:color="auto" w:fill="auto"/>
            <w:vAlign w:val="center"/>
          </w:tcPr>
          <w:p w14:paraId="355190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评分标准：人才培养人数≥1200人，得满分，每少100人，扣1分，扣完为止。</w:t>
            </w:r>
          </w:p>
        </w:tc>
      </w:tr>
      <w:tr w14:paraId="3FAEB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3" w:hRule="atLeast"/>
        </w:trPr>
        <w:tc>
          <w:tcPr>
            <w:tcW w:w="1479" w:type="dxa"/>
            <w:vMerge w:val="restart"/>
            <w:tcBorders>
              <w:top w:val="single" w:color="auto" w:sz="4" w:space="0"/>
              <w:left w:val="single" w:color="auto" w:sz="4" w:space="0"/>
              <w:right w:val="single" w:color="auto" w:sz="4" w:space="0"/>
            </w:tcBorders>
            <w:shd w:val="clear" w:color="auto" w:fill="auto"/>
            <w:vAlign w:val="center"/>
          </w:tcPr>
          <w:p w14:paraId="46797B4C">
            <w:pPr>
              <w:jc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效益指标</w:t>
            </w:r>
          </w:p>
        </w:tc>
        <w:tc>
          <w:tcPr>
            <w:tcW w:w="1684" w:type="dxa"/>
            <w:vMerge w:val="restart"/>
            <w:tcBorders>
              <w:top w:val="single" w:color="auto" w:sz="4" w:space="0"/>
              <w:left w:val="single" w:color="auto" w:sz="4" w:space="0"/>
              <w:right w:val="single" w:color="auto" w:sz="4" w:space="0"/>
            </w:tcBorders>
            <w:shd w:val="clear" w:color="auto" w:fill="auto"/>
            <w:vAlign w:val="center"/>
          </w:tcPr>
          <w:p w14:paraId="50E810D9">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2228" w:type="dxa"/>
            <w:tcBorders>
              <w:top w:val="single" w:color="auto" w:sz="4" w:space="0"/>
              <w:left w:val="single" w:color="auto" w:sz="4" w:space="0"/>
              <w:bottom w:val="single" w:color="auto" w:sz="4" w:space="0"/>
              <w:right w:val="single" w:color="auto" w:sz="4" w:space="0"/>
            </w:tcBorders>
            <w:shd w:val="clear" w:color="auto" w:fill="auto"/>
            <w:vAlign w:val="center"/>
          </w:tcPr>
          <w:p w14:paraId="357CE6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在贵州培养专业化的ICT工程师人数</w:t>
            </w:r>
          </w:p>
        </w:tc>
        <w:tc>
          <w:tcPr>
            <w:tcW w:w="1278" w:type="dxa"/>
            <w:tcBorders>
              <w:top w:val="single" w:color="auto" w:sz="4" w:space="0"/>
              <w:left w:val="single" w:color="auto" w:sz="4" w:space="0"/>
              <w:bottom w:val="single" w:color="auto" w:sz="4" w:space="0"/>
              <w:right w:val="single" w:color="auto" w:sz="4" w:space="0"/>
            </w:tcBorders>
            <w:shd w:val="clear" w:color="auto" w:fill="auto"/>
            <w:vAlign w:val="center"/>
          </w:tcPr>
          <w:p w14:paraId="734561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9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B6D84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3500</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14:paraId="33671F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w:t>
            </w:r>
          </w:p>
        </w:tc>
        <w:tc>
          <w:tcPr>
            <w:tcW w:w="2672" w:type="dxa"/>
            <w:tcBorders>
              <w:top w:val="single" w:color="auto" w:sz="4" w:space="0"/>
              <w:left w:val="single" w:color="auto" w:sz="4" w:space="0"/>
              <w:bottom w:val="single" w:color="auto" w:sz="4" w:space="0"/>
              <w:right w:val="single" w:color="auto" w:sz="4" w:space="0"/>
            </w:tcBorders>
            <w:shd w:val="clear" w:color="auto" w:fill="auto"/>
            <w:vAlign w:val="center"/>
          </w:tcPr>
          <w:p w14:paraId="0EB280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反映项目实施后，贵州培养专业化的ICT工程师情况</w:t>
            </w:r>
          </w:p>
        </w:tc>
        <w:tc>
          <w:tcPr>
            <w:tcW w:w="3526" w:type="dxa"/>
            <w:tcBorders>
              <w:top w:val="single" w:color="auto" w:sz="4" w:space="0"/>
              <w:left w:val="single" w:color="auto" w:sz="4" w:space="0"/>
              <w:bottom w:val="single" w:color="auto" w:sz="4" w:space="0"/>
              <w:right w:val="single" w:color="auto" w:sz="4" w:space="0"/>
            </w:tcBorders>
            <w:shd w:val="clear" w:color="auto" w:fill="auto"/>
            <w:vAlign w:val="center"/>
          </w:tcPr>
          <w:p w14:paraId="20F6D3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评分标准：在贵州培养专业化的ICT工程师人数≥3500人，得满分，每少100人，扣1分，扣完为止。</w:t>
            </w:r>
          </w:p>
        </w:tc>
      </w:tr>
      <w:tr w14:paraId="46D8C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atLeast"/>
        </w:trPr>
        <w:tc>
          <w:tcPr>
            <w:tcW w:w="1479" w:type="dxa"/>
            <w:vMerge w:val="continue"/>
            <w:tcBorders>
              <w:left w:val="single" w:color="auto" w:sz="4" w:space="0"/>
              <w:right w:val="single" w:color="auto" w:sz="4" w:space="0"/>
            </w:tcBorders>
            <w:shd w:val="clear" w:color="auto" w:fill="auto"/>
            <w:vAlign w:val="center"/>
          </w:tcPr>
          <w:p w14:paraId="4FD660B5">
            <w:pPr>
              <w:jc w:val="center"/>
              <w:rPr>
                <w:rFonts w:hint="eastAsia" w:ascii="宋体" w:hAnsi="宋体" w:eastAsia="宋体" w:cs="宋体"/>
                <w:b/>
                <w:bCs/>
                <w:i w:val="0"/>
                <w:iCs w:val="0"/>
                <w:color w:val="000000"/>
                <w:sz w:val="20"/>
                <w:szCs w:val="20"/>
                <w:u w:val="none"/>
              </w:rPr>
            </w:pPr>
          </w:p>
        </w:tc>
        <w:tc>
          <w:tcPr>
            <w:tcW w:w="1684" w:type="dxa"/>
            <w:vMerge w:val="continue"/>
            <w:tcBorders>
              <w:left w:val="single" w:color="auto" w:sz="4" w:space="0"/>
              <w:right w:val="single" w:color="auto" w:sz="4" w:space="0"/>
            </w:tcBorders>
            <w:shd w:val="clear" w:color="auto" w:fill="auto"/>
            <w:vAlign w:val="center"/>
          </w:tcPr>
          <w:p w14:paraId="3566FC43">
            <w:pPr>
              <w:jc w:val="center"/>
              <w:rPr>
                <w:rFonts w:hint="eastAsia" w:ascii="宋体" w:hAnsi="宋体" w:eastAsia="宋体" w:cs="宋体"/>
                <w:i w:val="0"/>
                <w:iCs w:val="0"/>
                <w:color w:val="000000"/>
                <w:sz w:val="20"/>
                <w:szCs w:val="20"/>
                <w:u w:val="none"/>
              </w:rPr>
            </w:pPr>
          </w:p>
        </w:tc>
        <w:tc>
          <w:tcPr>
            <w:tcW w:w="2228" w:type="dxa"/>
            <w:tcBorders>
              <w:top w:val="single" w:color="auto" w:sz="4" w:space="0"/>
              <w:left w:val="single" w:color="auto" w:sz="4" w:space="0"/>
              <w:bottom w:val="single" w:color="auto" w:sz="4" w:space="0"/>
              <w:right w:val="single" w:color="auto" w:sz="4" w:space="0"/>
            </w:tcBorders>
            <w:shd w:val="clear" w:color="auto" w:fill="auto"/>
            <w:vAlign w:val="center"/>
          </w:tcPr>
          <w:p w14:paraId="06806F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企业家培训与赋能数</w:t>
            </w:r>
          </w:p>
        </w:tc>
        <w:tc>
          <w:tcPr>
            <w:tcW w:w="1278" w:type="dxa"/>
            <w:tcBorders>
              <w:top w:val="single" w:color="auto" w:sz="4" w:space="0"/>
              <w:left w:val="single" w:color="auto" w:sz="4" w:space="0"/>
              <w:bottom w:val="single" w:color="auto" w:sz="4" w:space="0"/>
              <w:right w:val="single" w:color="auto" w:sz="4" w:space="0"/>
            </w:tcBorders>
            <w:shd w:val="clear" w:color="auto" w:fill="auto"/>
            <w:vAlign w:val="center"/>
          </w:tcPr>
          <w:p w14:paraId="6841DD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9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5792B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14:paraId="2B9ED7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w:t>
            </w:r>
          </w:p>
        </w:tc>
        <w:tc>
          <w:tcPr>
            <w:tcW w:w="2672" w:type="dxa"/>
            <w:tcBorders>
              <w:top w:val="single" w:color="auto" w:sz="4" w:space="0"/>
              <w:left w:val="single" w:color="auto" w:sz="4" w:space="0"/>
              <w:bottom w:val="single" w:color="auto" w:sz="4" w:space="0"/>
              <w:right w:val="single" w:color="auto" w:sz="4" w:space="0"/>
            </w:tcBorders>
            <w:shd w:val="clear" w:color="auto" w:fill="auto"/>
            <w:vAlign w:val="center"/>
          </w:tcPr>
          <w:p w14:paraId="7D7CD9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反映项目实施后，企业家培训与赋能情况</w:t>
            </w:r>
          </w:p>
        </w:tc>
        <w:tc>
          <w:tcPr>
            <w:tcW w:w="3526" w:type="dxa"/>
            <w:tcBorders>
              <w:top w:val="single" w:color="auto" w:sz="4" w:space="0"/>
              <w:left w:val="single" w:color="auto" w:sz="4" w:space="0"/>
              <w:bottom w:val="single" w:color="auto" w:sz="4" w:space="0"/>
              <w:right w:val="single" w:color="auto" w:sz="4" w:space="0"/>
            </w:tcBorders>
            <w:shd w:val="clear" w:color="auto" w:fill="auto"/>
            <w:vAlign w:val="center"/>
          </w:tcPr>
          <w:p w14:paraId="53E1E2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评分标准：企业家培训与赋能数≥150人，得满分，每少10人，扣1分，扣完为止。</w:t>
            </w:r>
          </w:p>
        </w:tc>
      </w:tr>
      <w:tr w14:paraId="5B504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atLeast"/>
        </w:trPr>
        <w:tc>
          <w:tcPr>
            <w:tcW w:w="1479" w:type="dxa"/>
            <w:vMerge w:val="continue"/>
            <w:tcBorders>
              <w:left w:val="single" w:color="auto" w:sz="4" w:space="0"/>
              <w:right w:val="single" w:color="auto" w:sz="4" w:space="0"/>
            </w:tcBorders>
            <w:shd w:val="clear" w:color="auto" w:fill="auto"/>
            <w:vAlign w:val="center"/>
          </w:tcPr>
          <w:p w14:paraId="25C10C77">
            <w:pPr>
              <w:jc w:val="center"/>
              <w:rPr>
                <w:rFonts w:hint="eastAsia" w:ascii="宋体" w:hAnsi="宋体" w:eastAsia="宋体" w:cs="宋体"/>
                <w:b/>
                <w:bCs/>
                <w:i w:val="0"/>
                <w:iCs w:val="0"/>
                <w:color w:val="000000"/>
                <w:sz w:val="20"/>
                <w:szCs w:val="20"/>
                <w:u w:val="none"/>
              </w:rPr>
            </w:pPr>
          </w:p>
        </w:tc>
        <w:tc>
          <w:tcPr>
            <w:tcW w:w="1684" w:type="dxa"/>
            <w:vMerge w:val="continue"/>
            <w:tcBorders>
              <w:left w:val="single" w:color="auto" w:sz="4" w:space="0"/>
              <w:bottom w:val="single" w:color="auto" w:sz="4" w:space="0"/>
              <w:right w:val="single" w:color="auto" w:sz="4" w:space="0"/>
            </w:tcBorders>
            <w:shd w:val="clear" w:color="auto" w:fill="auto"/>
            <w:vAlign w:val="center"/>
          </w:tcPr>
          <w:p w14:paraId="06CE5ACF">
            <w:pPr>
              <w:jc w:val="center"/>
              <w:rPr>
                <w:rFonts w:hint="eastAsia" w:ascii="宋体" w:hAnsi="宋体" w:eastAsia="宋体" w:cs="宋体"/>
                <w:i w:val="0"/>
                <w:iCs w:val="0"/>
                <w:color w:val="000000"/>
                <w:sz w:val="20"/>
                <w:szCs w:val="20"/>
                <w:u w:val="none"/>
              </w:rPr>
            </w:pPr>
          </w:p>
        </w:tc>
        <w:tc>
          <w:tcPr>
            <w:tcW w:w="2228" w:type="dxa"/>
            <w:tcBorders>
              <w:top w:val="single" w:color="auto" w:sz="4" w:space="0"/>
              <w:left w:val="single" w:color="auto" w:sz="4" w:space="0"/>
              <w:bottom w:val="single" w:color="auto" w:sz="4" w:space="0"/>
              <w:right w:val="single" w:color="auto" w:sz="4" w:space="0"/>
            </w:tcBorders>
            <w:shd w:val="clear" w:color="auto" w:fill="auto"/>
            <w:vAlign w:val="center"/>
          </w:tcPr>
          <w:p w14:paraId="195FFB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联合贵州高职院校进行产教融合数</w:t>
            </w:r>
          </w:p>
        </w:tc>
        <w:tc>
          <w:tcPr>
            <w:tcW w:w="1278" w:type="dxa"/>
            <w:tcBorders>
              <w:top w:val="single" w:color="auto" w:sz="4" w:space="0"/>
              <w:left w:val="single" w:color="auto" w:sz="4" w:space="0"/>
              <w:bottom w:val="single" w:color="auto" w:sz="4" w:space="0"/>
              <w:right w:val="single" w:color="auto" w:sz="4" w:space="0"/>
            </w:tcBorders>
            <w:shd w:val="clear" w:color="auto" w:fill="auto"/>
            <w:vAlign w:val="center"/>
          </w:tcPr>
          <w:p w14:paraId="1107A9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9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F445A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14:paraId="0E0939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所</w:t>
            </w:r>
          </w:p>
        </w:tc>
        <w:tc>
          <w:tcPr>
            <w:tcW w:w="2672" w:type="dxa"/>
            <w:tcBorders>
              <w:top w:val="single" w:color="auto" w:sz="4" w:space="0"/>
              <w:left w:val="single" w:color="auto" w:sz="4" w:space="0"/>
              <w:bottom w:val="single" w:color="auto" w:sz="4" w:space="0"/>
              <w:right w:val="single" w:color="auto" w:sz="4" w:space="0"/>
            </w:tcBorders>
            <w:shd w:val="clear" w:color="auto" w:fill="auto"/>
            <w:vAlign w:val="center"/>
          </w:tcPr>
          <w:p w14:paraId="07F623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反映项目实施后，联合贵州高职院校进行产教融合情况</w:t>
            </w:r>
          </w:p>
        </w:tc>
        <w:tc>
          <w:tcPr>
            <w:tcW w:w="3526" w:type="dxa"/>
            <w:tcBorders>
              <w:top w:val="single" w:color="auto" w:sz="4" w:space="0"/>
              <w:left w:val="single" w:color="auto" w:sz="4" w:space="0"/>
              <w:bottom w:val="single" w:color="auto" w:sz="4" w:space="0"/>
              <w:right w:val="single" w:color="auto" w:sz="4" w:space="0"/>
            </w:tcBorders>
            <w:shd w:val="clear" w:color="auto" w:fill="auto"/>
            <w:vAlign w:val="center"/>
          </w:tcPr>
          <w:p w14:paraId="0BA35A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评分标准：联合贵州高职院校进行产教融合数≥3所，得满分，每少1人，扣1分，扣完为止。</w:t>
            </w:r>
          </w:p>
        </w:tc>
      </w:tr>
      <w:tr w14:paraId="5C520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atLeast"/>
        </w:trPr>
        <w:tc>
          <w:tcPr>
            <w:tcW w:w="1479" w:type="dxa"/>
            <w:vMerge w:val="continue"/>
            <w:tcBorders>
              <w:left w:val="single" w:color="auto" w:sz="4" w:space="0"/>
              <w:bottom w:val="single" w:color="auto" w:sz="4" w:space="0"/>
              <w:right w:val="single" w:color="auto" w:sz="4" w:space="0"/>
            </w:tcBorders>
            <w:shd w:val="clear" w:color="auto" w:fill="auto"/>
            <w:vAlign w:val="center"/>
          </w:tcPr>
          <w:p w14:paraId="2003815B">
            <w:pPr>
              <w:jc w:val="center"/>
              <w:rPr>
                <w:rFonts w:hint="eastAsia" w:ascii="宋体" w:hAnsi="宋体" w:eastAsia="宋体" w:cs="宋体"/>
                <w:b/>
                <w:bCs/>
                <w:i w:val="0"/>
                <w:iCs w:val="0"/>
                <w:color w:val="000000"/>
                <w:sz w:val="20"/>
                <w:szCs w:val="20"/>
                <w:u w:val="none"/>
              </w:rPr>
            </w:pPr>
          </w:p>
        </w:tc>
        <w:tc>
          <w:tcPr>
            <w:tcW w:w="1684" w:type="dxa"/>
            <w:tcBorders>
              <w:top w:val="single" w:color="auto" w:sz="4" w:space="0"/>
              <w:left w:val="single" w:color="auto" w:sz="4" w:space="0"/>
              <w:bottom w:val="single" w:color="auto" w:sz="4" w:space="0"/>
              <w:right w:val="single" w:color="auto" w:sz="4" w:space="0"/>
            </w:tcBorders>
            <w:shd w:val="clear" w:color="auto" w:fill="auto"/>
            <w:vAlign w:val="center"/>
          </w:tcPr>
          <w:p w14:paraId="12ABBD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经济效益指标</w:t>
            </w:r>
          </w:p>
        </w:tc>
        <w:tc>
          <w:tcPr>
            <w:tcW w:w="2228" w:type="dxa"/>
            <w:tcBorders>
              <w:top w:val="single" w:color="auto" w:sz="4" w:space="0"/>
              <w:left w:val="single" w:color="auto" w:sz="4" w:space="0"/>
              <w:bottom w:val="single" w:color="auto" w:sz="4" w:space="0"/>
              <w:right w:val="single" w:color="auto" w:sz="4" w:space="0"/>
            </w:tcBorders>
            <w:shd w:val="clear" w:color="auto" w:fill="auto"/>
            <w:vAlign w:val="center"/>
          </w:tcPr>
          <w:p w14:paraId="4B1A19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支持项目建设期实现营业收入</w:t>
            </w:r>
          </w:p>
        </w:tc>
        <w:tc>
          <w:tcPr>
            <w:tcW w:w="1278" w:type="dxa"/>
            <w:tcBorders>
              <w:top w:val="single" w:color="auto" w:sz="4" w:space="0"/>
              <w:left w:val="single" w:color="auto" w:sz="4" w:space="0"/>
              <w:bottom w:val="single" w:color="auto" w:sz="4" w:space="0"/>
              <w:right w:val="single" w:color="auto" w:sz="4" w:space="0"/>
            </w:tcBorders>
            <w:shd w:val="clear" w:color="auto" w:fill="auto"/>
            <w:vAlign w:val="center"/>
          </w:tcPr>
          <w:p w14:paraId="0AF3AB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9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FE151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20000000</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14:paraId="22A906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w:t>
            </w:r>
          </w:p>
        </w:tc>
        <w:tc>
          <w:tcPr>
            <w:tcW w:w="2672" w:type="dxa"/>
            <w:tcBorders>
              <w:top w:val="single" w:color="auto" w:sz="4" w:space="0"/>
              <w:left w:val="single" w:color="auto" w:sz="4" w:space="0"/>
              <w:bottom w:val="single" w:color="auto" w:sz="4" w:space="0"/>
              <w:right w:val="single" w:color="auto" w:sz="4" w:space="0"/>
            </w:tcBorders>
            <w:shd w:val="clear" w:color="auto" w:fill="auto"/>
            <w:vAlign w:val="center"/>
          </w:tcPr>
          <w:p w14:paraId="6BDDC5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反映项目实施后，建设期实现营业收入情况</w:t>
            </w:r>
          </w:p>
        </w:tc>
        <w:tc>
          <w:tcPr>
            <w:tcW w:w="3526" w:type="dxa"/>
            <w:tcBorders>
              <w:top w:val="single" w:color="auto" w:sz="4" w:space="0"/>
              <w:left w:val="single" w:color="auto" w:sz="4" w:space="0"/>
              <w:bottom w:val="single" w:color="auto" w:sz="4" w:space="0"/>
              <w:right w:val="single" w:color="auto" w:sz="4" w:space="0"/>
            </w:tcBorders>
            <w:shd w:val="clear" w:color="auto" w:fill="auto"/>
            <w:vAlign w:val="center"/>
          </w:tcPr>
          <w:p w14:paraId="4D8B53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评分标准：建设期实现营业收入≥20000000元，得满分，每少100000元，扣1分，扣完为止。</w:t>
            </w:r>
          </w:p>
        </w:tc>
      </w:tr>
      <w:tr w14:paraId="10237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atLeast"/>
        </w:trPr>
        <w:tc>
          <w:tcPr>
            <w:tcW w:w="1479" w:type="dxa"/>
            <w:tcBorders>
              <w:top w:val="single" w:color="auto" w:sz="4" w:space="0"/>
              <w:left w:val="single" w:color="auto" w:sz="4" w:space="0"/>
              <w:bottom w:val="single" w:color="auto" w:sz="4" w:space="0"/>
              <w:right w:val="single" w:color="auto" w:sz="4" w:space="0"/>
            </w:tcBorders>
            <w:shd w:val="clear" w:color="auto" w:fill="auto"/>
            <w:vAlign w:val="center"/>
          </w:tcPr>
          <w:p w14:paraId="049E507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满意度指标</w:t>
            </w:r>
          </w:p>
        </w:tc>
        <w:tc>
          <w:tcPr>
            <w:tcW w:w="1684" w:type="dxa"/>
            <w:tcBorders>
              <w:top w:val="single" w:color="auto" w:sz="4" w:space="0"/>
              <w:left w:val="single" w:color="auto" w:sz="4" w:space="0"/>
              <w:bottom w:val="single" w:color="auto" w:sz="4" w:space="0"/>
              <w:right w:val="single" w:color="auto" w:sz="4" w:space="0"/>
            </w:tcBorders>
            <w:shd w:val="clear" w:color="auto" w:fill="auto"/>
            <w:vAlign w:val="center"/>
          </w:tcPr>
          <w:p w14:paraId="5DEF3E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2228" w:type="dxa"/>
            <w:tcBorders>
              <w:top w:val="single" w:color="auto" w:sz="4" w:space="0"/>
              <w:left w:val="single" w:color="auto" w:sz="4" w:space="0"/>
              <w:bottom w:val="single" w:color="auto" w:sz="4" w:space="0"/>
              <w:right w:val="single" w:color="auto" w:sz="4" w:space="0"/>
            </w:tcBorders>
            <w:shd w:val="clear" w:color="auto" w:fill="auto"/>
            <w:vAlign w:val="center"/>
          </w:tcPr>
          <w:p w14:paraId="00C9DF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兑现企业满意度</w:t>
            </w:r>
          </w:p>
        </w:tc>
        <w:tc>
          <w:tcPr>
            <w:tcW w:w="1278" w:type="dxa"/>
            <w:tcBorders>
              <w:top w:val="single" w:color="auto" w:sz="4" w:space="0"/>
              <w:left w:val="single" w:color="auto" w:sz="4" w:space="0"/>
              <w:bottom w:val="single" w:color="auto" w:sz="4" w:space="0"/>
              <w:right w:val="single" w:color="auto" w:sz="4" w:space="0"/>
            </w:tcBorders>
            <w:shd w:val="clear" w:color="auto" w:fill="auto"/>
            <w:vAlign w:val="center"/>
          </w:tcPr>
          <w:p w14:paraId="7084B9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9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22ACB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14:paraId="6363B1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672" w:type="dxa"/>
            <w:tcBorders>
              <w:top w:val="single" w:color="auto" w:sz="4" w:space="0"/>
              <w:left w:val="single" w:color="auto" w:sz="4" w:space="0"/>
              <w:bottom w:val="single" w:color="auto" w:sz="4" w:space="0"/>
              <w:right w:val="single" w:color="auto" w:sz="4" w:space="0"/>
            </w:tcBorders>
            <w:shd w:val="clear" w:color="auto" w:fill="auto"/>
            <w:vAlign w:val="center"/>
          </w:tcPr>
          <w:p w14:paraId="122345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反映本项目实施后，群众满意情况</w:t>
            </w:r>
          </w:p>
        </w:tc>
        <w:tc>
          <w:tcPr>
            <w:tcW w:w="3526" w:type="dxa"/>
            <w:tcBorders>
              <w:top w:val="single" w:color="auto" w:sz="4" w:space="0"/>
              <w:left w:val="single" w:color="auto" w:sz="4" w:space="0"/>
              <w:bottom w:val="single" w:color="auto" w:sz="4" w:space="0"/>
              <w:right w:val="single" w:color="auto" w:sz="4" w:space="0"/>
            </w:tcBorders>
            <w:shd w:val="clear" w:color="auto" w:fill="auto"/>
            <w:vAlign w:val="center"/>
          </w:tcPr>
          <w:p w14:paraId="6B5673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评分标准：兑现企业满意度≥90%，得满分，低于60%不得分。其他满意度得分=满意度*分值</w:t>
            </w:r>
          </w:p>
        </w:tc>
      </w:tr>
      <w:tr w14:paraId="07BB8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1479" w:type="dxa"/>
            <w:tcBorders>
              <w:top w:val="single" w:color="auto" w:sz="4" w:space="0"/>
              <w:left w:val="single" w:color="auto" w:sz="4" w:space="0"/>
              <w:bottom w:val="single" w:color="auto" w:sz="4" w:space="0"/>
              <w:right w:val="single" w:color="auto" w:sz="4" w:space="0"/>
            </w:tcBorders>
            <w:shd w:val="clear" w:color="auto" w:fill="auto"/>
            <w:vAlign w:val="center"/>
          </w:tcPr>
          <w:p w14:paraId="092EC96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联系人及电话</w:t>
            </w:r>
          </w:p>
        </w:tc>
        <w:tc>
          <w:tcPr>
            <w:tcW w:w="13537" w:type="dxa"/>
            <w:gridSpan w:val="8"/>
            <w:tcBorders>
              <w:top w:val="single" w:color="auto" w:sz="4" w:space="0"/>
              <w:left w:val="single" w:color="auto" w:sz="4" w:space="0"/>
              <w:bottom w:val="single" w:color="auto" w:sz="4" w:space="0"/>
              <w:right w:val="single" w:color="auto" w:sz="4" w:space="0"/>
            </w:tcBorders>
            <w:shd w:val="clear" w:color="auto" w:fill="auto"/>
            <w:vAlign w:val="center"/>
          </w:tcPr>
          <w:p w14:paraId="5E82CADB">
            <w:pPr>
              <w:jc w:val="center"/>
              <w:rPr>
                <w:rFonts w:hint="eastAsia" w:ascii="宋体" w:hAnsi="宋体" w:eastAsia="宋体" w:cs="宋体"/>
                <w:i w:val="0"/>
                <w:iCs w:val="0"/>
                <w:color w:val="000000"/>
                <w:sz w:val="20"/>
                <w:szCs w:val="20"/>
                <w:u w:val="none"/>
              </w:rPr>
            </w:pPr>
          </w:p>
        </w:tc>
      </w:tr>
    </w:tbl>
    <w:p w14:paraId="2F002473">
      <w:pPr>
        <w:rPr>
          <w:rFonts w:hint="eastAsia"/>
        </w:rPr>
      </w:pPr>
    </w:p>
    <w:sectPr>
      <w:pgSz w:w="16840" w:h="11907" w:orient="landscape"/>
      <w:pgMar w:top="1276" w:right="1020" w:bottom="1412" w:left="1020" w:header="851" w:footer="992" w:gutter="0"/>
      <w:pgBorders>
        <w:top w:val="none" w:sz="0" w:space="0"/>
        <w:left w:val="none" w:sz="0" w:space="0"/>
        <w:bottom w:val="none" w:sz="0" w:space="0"/>
        <w:right w:val="none" w:sz="0" w:space="0"/>
      </w:pgBorders>
      <w:pgNumType w:fmt="decimal"/>
      <w:cols w:space="0" w:num="1"/>
      <w:rtlGutter w:val="1"/>
      <w:docGrid w:type="linesAndChars" w:linePitch="317" w:charSpace="60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3714733-ACD2-4855-8183-12D6B6F09D7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BED038A0-A9EF-42C8-9178-CCBD15873AB7}"/>
  </w:font>
  <w:font w:name="方正兰亭黑_GBK">
    <w:altName w:val="微软雅黑"/>
    <w:panose1 w:val="02000000000000000000"/>
    <w:charset w:val="86"/>
    <w:family w:val="script"/>
    <w:pitch w:val="default"/>
    <w:sig w:usb0="00000000" w:usb1="00000000" w:usb2="00080016" w:usb3="00000000" w:csb0="00040001" w:csb1="00000000"/>
  </w:font>
  <w:font w:name="微软雅黑">
    <w:panose1 w:val="020B0503020204020204"/>
    <w:charset w:val="86"/>
    <w:family w:val="swiss"/>
    <w:pitch w:val="default"/>
    <w:sig w:usb0="80000287" w:usb1="2ACF3C50" w:usb2="00000016" w:usb3="00000000" w:csb0="0004001F" w:csb1="00000000"/>
    <w:embedRegular r:id="rId3" w:fontKey="{1B23EE4F-4AE7-47EF-B59E-BEA508CF2258}"/>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6F316757-01A7-40B9-BED0-F4474B5B7F6B}"/>
  </w:font>
  <w:font w:name="楷体_GB2312">
    <w:panose1 w:val="02010609030101010101"/>
    <w:charset w:val="86"/>
    <w:family w:val="modern"/>
    <w:pitch w:val="default"/>
    <w:sig w:usb0="00000001" w:usb1="080E0000" w:usb2="00000000" w:usb3="00000000" w:csb0="00040000" w:csb1="00000000"/>
    <w:embedRegular r:id="rId5" w:fontKey="{963FEDE4-4D51-49E4-80DF-0D7AA245E788}"/>
  </w:font>
  <w:font w:name="方正仿宋_GBK">
    <w:panose1 w:val="03000509000000000000"/>
    <w:charset w:val="86"/>
    <w:family w:val="script"/>
    <w:pitch w:val="default"/>
    <w:sig w:usb0="00000001" w:usb1="080E0000" w:usb2="00000000" w:usb3="00000000" w:csb0="00040000" w:csb1="00000000"/>
    <w:embedRegular r:id="rId6" w:fontKey="{153B06C1-6546-4079-B59D-641EC9D1C05B}"/>
  </w:font>
  <w:font w:name="仿宋">
    <w:panose1 w:val="02010609060101010101"/>
    <w:charset w:val="86"/>
    <w:family w:val="auto"/>
    <w:pitch w:val="default"/>
    <w:sig w:usb0="800002BF" w:usb1="38CF7CFA" w:usb2="00000016" w:usb3="00000000" w:csb0="00040001" w:csb1="00000000"/>
    <w:embedRegular r:id="rId7" w:fontKey="{B963BB7F-6EBF-485F-B00C-94FA1ADC4EC5}"/>
  </w:font>
  <w:font w:name="东文宋体">
    <w:altName w:val="宋体"/>
    <w:panose1 w:val="00000000000000000000"/>
    <w:charset w:val="00"/>
    <w:family w:val="auto"/>
    <w:pitch w:val="default"/>
    <w:sig w:usb0="00000000" w:usb1="00000000" w:usb2="00000000" w:usb3="00000000" w:csb0="00000000" w:csb1="00000000"/>
    <w:embedRegular r:id="rId8" w:fontKey="{DAB5F239-A76F-4B09-86EB-159371D1E5C7}"/>
  </w:font>
  <w:font w:name="华文仿宋">
    <w:panose1 w:val="02010600040101010101"/>
    <w:charset w:val="86"/>
    <w:family w:val="auto"/>
    <w:pitch w:val="default"/>
    <w:sig w:usb0="00000287" w:usb1="080F0000" w:usb2="00000000" w:usb3="00000000" w:csb0="0004009F" w:csb1="DFD70000"/>
    <w:embedRegular r:id="rId9" w:fontKey="{B00F8686-BD7A-47BB-9C39-465C8A891B21}"/>
  </w:font>
  <w:font w:name="等线">
    <w:panose1 w:val="02010600030101010101"/>
    <w:charset w:val="86"/>
    <w:family w:val="auto"/>
    <w:pitch w:val="default"/>
    <w:sig w:usb0="A00002BF" w:usb1="38CF7CFA" w:usb2="00000016" w:usb3="00000000" w:csb0="0004000F" w:csb1="00000000"/>
    <w:embedRegular r:id="rId10" w:fontKey="{152F1224-8B97-432B-BC14-F57F4AD3734A}"/>
  </w:font>
  <w:font w:name="楷体">
    <w:panose1 w:val="02010609060101010101"/>
    <w:charset w:val="86"/>
    <w:family w:val="modern"/>
    <w:pitch w:val="default"/>
    <w:sig w:usb0="800002BF" w:usb1="38CF7CFA" w:usb2="00000016" w:usb3="00000000" w:csb0="00040001" w:csb1="00000000"/>
    <w:embedRegular r:id="rId11" w:fontKey="{748B47C0-140B-4029-B08C-AD5D672A3B5C}"/>
  </w:font>
  <w:font w:name="方正楷体_GB2312">
    <w:altName w:val="楷体_GB2312"/>
    <w:panose1 w:val="02000000000000000000"/>
    <w:charset w:val="86"/>
    <w:family w:val="auto"/>
    <w:pitch w:val="default"/>
    <w:sig w:usb0="00000000" w:usb1="00000000" w:usb2="00000012" w:usb3="00000000" w:csb0="00040001" w:csb1="00000000"/>
    <w:embedRegular r:id="rId12" w:fontKey="{117330E7-EC35-413C-AA40-7CD94A3A79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31C01">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DAA17">
    <w:pPr>
      <w:widowControl w:val="0"/>
      <w:tabs>
        <w:tab w:val="center" w:pos="4153"/>
        <w:tab w:val="right" w:pos="8306"/>
      </w:tabs>
      <w:snapToGrid w:val="0"/>
      <w:jc w:val="left"/>
      <w:rPr>
        <w:rFonts w:ascii="Calibri" w:hAnsi="Calibri" w:eastAsia="宋体" w:cs="Times New Roman"/>
        <w:kern w:val="2"/>
        <w:sz w:val="18"/>
        <w:szCs w:val="22"/>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985FF">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1DEF67"/>
    <w:multiLevelType w:val="singleLevel"/>
    <w:tmpl w:val="BC1DEF67"/>
    <w:lvl w:ilvl="0" w:tentative="0">
      <w:start w:val="1"/>
      <w:numFmt w:val="chineseCounting"/>
      <w:suff w:val="nothing"/>
      <w:lvlText w:val="%1、"/>
      <w:lvlJc w:val="left"/>
      <w:rPr>
        <w:rFonts w:hint="eastAsia"/>
      </w:rPr>
    </w:lvl>
  </w:abstractNum>
  <w:abstractNum w:abstractNumId="1">
    <w:nsid w:val="ED55CC27"/>
    <w:multiLevelType w:val="singleLevel"/>
    <w:tmpl w:val="ED55CC27"/>
    <w:lvl w:ilvl="0" w:tentative="0">
      <w:start w:val="2"/>
      <w:numFmt w:val="chineseCounting"/>
      <w:suff w:val="nothing"/>
      <w:lvlText w:val="（%1）"/>
      <w:lvlJc w:val="left"/>
      <w:pPr>
        <w:ind w:left="204"/>
      </w:pPr>
      <w:rPr>
        <w:rFonts w:hint="eastAsia"/>
      </w:rPr>
    </w:lvl>
  </w:abstractNum>
  <w:abstractNum w:abstractNumId="2">
    <w:nsid w:val="06498C62"/>
    <w:multiLevelType w:val="singleLevel"/>
    <w:tmpl w:val="06498C62"/>
    <w:lvl w:ilvl="0" w:tentative="0">
      <w:start w:val="2"/>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dit="readOnly" w:enforcement="0"/>
  <w:defaultTabStop w:val="420"/>
  <w:drawingGridHorizontalSpacing w:val="106"/>
  <w:drawingGridVerticalSpacing w:val="159"/>
  <w:displayHorizontalDrawingGridEvery w:val="1"/>
  <w:displayVerticalDrawingGridEvery w:val="1"/>
  <w:noPunctuationKerning w:val="1"/>
  <w:characterSpacingControl w:val="compressPunctuation"/>
  <w:compat>
    <w:spaceForUL/>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
  <w:docVars>
    <w:docVar w:name="commondata" w:val="eyJoZGlkIjoiNzJiODIwODYzMDM0OGNiYzFkZmYwZTg1MjE1NDE3YzMifQ=="/>
  </w:docVars>
  <w:rsids>
    <w:rsidRoot w:val="002B67EB"/>
    <w:rsid w:val="002B67EB"/>
    <w:rsid w:val="005D4816"/>
    <w:rsid w:val="0089189B"/>
    <w:rsid w:val="009049D8"/>
    <w:rsid w:val="009A4BA9"/>
    <w:rsid w:val="00CF51B8"/>
    <w:rsid w:val="01AD5116"/>
    <w:rsid w:val="027371F2"/>
    <w:rsid w:val="03C0289C"/>
    <w:rsid w:val="03CC3F79"/>
    <w:rsid w:val="043B2EAD"/>
    <w:rsid w:val="063D75C4"/>
    <w:rsid w:val="071738E7"/>
    <w:rsid w:val="08E93482"/>
    <w:rsid w:val="096063FE"/>
    <w:rsid w:val="0B1C341E"/>
    <w:rsid w:val="0B345559"/>
    <w:rsid w:val="0B4B7E79"/>
    <w:rsid w:val="0BA255F1"/>
    <w:rsid w:val="0C0E2B44"/>
    <w:rsid w:val="0C1B60D4"/>
    <w:rsid w:val="0D5D4B8B"/>
    <w:rsid w:val="0DCB52A1"/>
    <w:rsid w:val="0E5B6625"/>
    <w:rsid w:val="0EA77ABC"/>
    <w:rsid w:val="0F6F43E9"/>
    <w:rsid w:val="0FC1507C"/>
    <w:rsid w:val="100C39F5"/>
    <w:rsid w:val="10DE6248"/>
    <w:rsid w:val="11216530"/>
    <w:rsid w:val="116577BB"/>
    <w:rsid w:val="11B61DC5"/>
    <w:rsid w:val="11F52266"/>
    <w:rsid w:val="129467F3"/>
    <w:rsid w:val="12B1735F"/>
    <w:rsid w:val="13084A2A"/>
    <w:rsid w:val="153B0A7C"/>
    <w:rsid w:val="174A59A2"/>
    <w:rsid w:val="17546E51"/>
    <w:rsid w:val="180433E6"/>
    <w:rsid w:val="19520167"/>
    <w:rsid w:val="195E7E77"/>
    <w:rsid w:val="1A7D7709"/>
    <w:rsid w:val="1C294606"/>
    <w:rsid w:val="1F552C1D"/>
    <w:rsid w:val="1F75506D"/>
    <w:rsid w:val="200321CD"/>
    <w:rsid w:val="202D4D1D"/>
    <w:rsid w:val="20631DC9"/>
    <w:rsid w:val="20C06732"/>
    <w:rsid w:val="235D67F2"/>
    <w:rsid w:val="2379382F"/>
    <w:rsid w:val="239F6377"/>
    <w:rsid w:val="24E0567E"/>
    <w:rsid w:val="2581131E"/>
    <w:rsid w:val="25C5032F"/>
    <w:rsid w:val="266F2816"/>
    <w:rsid w:val="274C4E88"/>
    <w:rsid w:val="27746F46"/>
    <w:rsid w:val="27B56A4D"/>
    <w:rsid w:val="288F5AD7"/>
    <w:rsid w:val="29015BC3"/>
    <w:rsid w:val="29871C19"/>
    <w:rsid w:val="2A405709"/>
    <w:rsid w:val="2A67312A"/>
    <w:rsid w:val="2B886795"/>
    <w:rsid w:val="2BF00CFD"/>
    <w:rsid w:val="2D292535"/>
    <w:rsid w:val="2EE7693B"/>
    <w:rsid w:val="35013A92"/>
    <w:rsid w:val="35C30488"/>
    <w:rsid w:val="3676517A"/>
    <w:rsid w:val="377C21B3"/>
    <w:rsid w:val="37E0784C"/>
    <w:rsid w:val="392E030F"/>
    <w:rsid w:val="39583353"/>
    <w:rsid w:val="39DE07B4"/>
    <w:rsid w:val="3A16675B"/>
    <w:rsid w:val="3A920F74"/>
    <w:rsid w:val="3B8410C3"/>
    <w:rsid w:val="3C4D31A2"/>
    <w:rsid w:val="3E1546E8"/>
    <w:rsid w:val="3E2C5D31"/>
    <w:rsid w:val="3E5A6648"/>
    <w:rsid w:val="3E6A7DD6"/>
    <w:rsid w:val="3EAF76C8"/>
    <w:rsid w:val="3EB60559"/>
    <w:rsid w:val="3F5C5964"/>
    <w:rsid w:val="3FBF54E2"/>
    <w:rsid w:val="405368AD"/>
    <w:rsid w:val="41A311B2"/>
    <w:rsid w:val="45C92C54"/>
    <w:rsid w:val="4627034A"/>
    <w:rsid w:val="48761657"/>
    <w:rsid w:val="49DA582C"/>
    <w:rsid w:val="4A922873"/>
    <w:rsid w:val="4E5113A4"/>
    <w:rsid w:val="4F583EE0"/>
    <w:rsid w:val="50B82E88"/>
    <w:rsid w:val="539823B8"/>
    <w:rsid w:val="53AA4ED2"/>
    <w:rsid w:val="553B6D5F"/>
    <w:rsid w:val="56486824"/>
    <w:rsid w:val="58344C8B"/>
    <w:rsid w:val="583C0B8D"/>
    <w:rsid w:val="5B6B0AF7"/>
    <w:rsid w:val="5C98061D"/>
    <w:rsid w:val="5D966DBA"/>
    <w:rsid w:val="5DA20CDD"/>
    <w:rsid w:val="5E0C362B"/>
    <w:rsid w:val="5EB6652D"/>
    <w:rsid w:val="5F60195E"/>
    <w:rsid w:val="641010BA"/>
    <w:rsid w:val="649E018F"/>
    <w:rsid w:val="64D78058"/>
    <w:rsid w:val="653D3504"/>
    <w:rsid w:val="6646288C"/>
    <w:rsid w:val="664C224B"/>
    <w:rsid w:val="675C29DF"/>
    <w:rsid w:val="68112B92"/>
    <w:rsid w:val="6AA41817"/>
    <w:rsid w:val="6C13176A"/>
    <w:rsid w:val="6C26186D"/>
    <w:rsid w:val="6D0E5786"/>
    <w:rsid w:val="6D1E6F40"/>
    <w:rsid w:val="6D34E87E"/>
    <w:rsid w:val="6D8A7502"/>
    <w:rsid w:val="6DDD0635"/>
    <w:rsid w:val="6DF3362C"/>
    <w:rsid w:val="6EFF04D5"/>
    <w:rsid w:val="6FFD7B83"/>
    <w:rsid w:val="707A4380"/>
    <w:rsid w:val="708E59B8"/>
    <w:rsid w:val="71722BD9"/>
    <w:rsid w:val="71F82EAA"/>
    <w:rsid w:val="7287451B"/>
    <w:rsid w:val="75657C4B"/>
    <w:rsid w:val="75EF43A6"/>
    <w:rsid w:val="76832D41"/>
    <w:rsid w:val="76E82F26"/>
    <w:rsid w:val="775409B9"/>
    <w:rsid w:val="77674410"/>
    <w:rsid w:val="777F8A5C"/>
    <w:rsid w:val="77D3399A"/>
    <w:rsid w:val="7913447D"/>
    <w:rsid w:val="791EEF0D"/>
    <w:rsid w:val="79A323AB"/>
    <w:rsid w:val="79CC38DF"/>
    <w:rsid w:val="7E9B5251"/>
    <w:rsid w:val="7FC9EF9B"/>
    <w:rsid w:val="B7FBBC61"/>
    <w:rsid w:val="DEFF7E0F"/>
    <w:rsid w:val="E79EDEA5"/>
    <w:rsid w:val="EB9FD9FE"/>
    <w:rsid w:val="EFEA86BE"/>
    <w:rsid w:val="F5F5E7C1"/>
    <w:rsid w:val="F8B876D7"/>
    <w:rsid w:val="FBEDCFEC"/>
    <w:rsid w:val="FEFCB5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Arial"/>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rPr>
  </w:style>
  <w:style w:type="paragraph" w:styleId="3">
    <w:name w:val="heading 2"/>
    <w:basedOn w:val="1"/>
    <w:next w:val="1"/>
    <w:qFormat/>
    <w:uiPriority w:val="0"/>
    <w:pPr>
      <w:keepNext/>
      <w:keepLines/>
      <w:spacing w:before="260" w:after="260" w:line="415" w:lineRule="auto"/>
      <w:outlineLvl w:val="1"/>
    </w:pPr>
    <w:rPr>
      <w:rFonts w:ascii="方正兰亭黑_GBK" w:hAnsi="方正兰亭黑_GBK" w:eastAsia="黑体"/>
      <w:b/>
      <w:sz w:val="32"/>
    </w:rPr>
  </w:style>
  <w:style w:type="paragraph" w:styleId="4">
    <w:name w:val="heading 3"/>
    <w:basedOn w:val="1"/>
    <w:next w:val="1"/>
    <w:qFormat/>
    <w:uiPriority w:val="0"/>
    <w:pPr>
      <w:keepNext/>
      <w:keepLines/>
      <w:spacing w:before="260" w:after="260" w:line="415" w:lineRule="auto"/>
      <w:outlineLvl w:val="2"/>
    </w:pPr>
    <w:rPr>
      <w:b/>
      <w:sz w:val="32"/>
    </w:rPr>
  </w:style>
  <w:style w:type="paragraph" w:styleId="5">
    <w:name w:val="heading 4"/>
    <w:basedOn w:val="1"/>
    <w:next w:val="1"/>
    <w:qFormat/>
    <w:uiPriority w:val="0"/>
    <w:pPr>
      <w:adjustRightInd w:val="0"/>
      <w:snapToGrid w:val="0"/>
      <w:spacing w:after="50" w:afterLines="50" w:line="400" w:lineRule="exact"/>
      <w:outlineLvl w:val="3"/>
    </w:pPr>
    <w:rPr>
      <w:rFonts w:eastAsia="微软雅黑"/>
      <w:szCs w:val="28"/>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6">
    <w:name w:val="table of authorities"/>
    <w:next w:val="1"/>
    <w:unhideWhenUsed/>
    <w:qFormat/>
    <w:uiPriority w:val="99"/>
    <w:pPr>
      <w:widowControl w:val="0"/>
      <w:ind w:left="420" w:leftChars="200"/>
      <w:jc w:val="both"/>
    </w:pPr>
    <w:rPr>
      <w:rFonts w:ascii="Calibri" w:hAnsi="Calibri" w:eastAsia="宋体" w:cs="Times New Roman"/>
      <w:kern w:val="2"/>
      <w:sz w:val="21"/>
      <w:szCs w:val="24"/>
      <w:lang w:val="en-US" w:eastAsia="zh-CN" w:bidi="ar-SA"/>
    </w:rPr>
  </w:style>
  <w:style w:type="paragraph" w:styleId="7">
    <w:name w:val="annotation text"/>
    <w:basedOn w:val="1"/>
    <w:qFormat/>
    <w:uiPriority w:val="0"/>
    <w:pPr>
      <w:jc w:val="left"/>
    </w:pPr>
  </w:style>
  <w:style w:type="paragraph" w:styleId="8">
    <w:name w:val="footer"/>
    <w:basedOn w:val="1"/>
    <w:next w:val="1"/>
    <w:qFormat/>
    <w:uiPriority w:val="0"/>
    <w:pPr>
      <w:tabs>
        <w:tab w:val="center" w:pos="4153"/>
        <w:tab w:val="right" w:pos="8306"/>
      </w:tabs>
      <w:snapToGrid w:val="0"/>
      <w:jc w:val="left"/>
    </w:pPr>
    <w:rPr>
      <w:sz w:val="18"/>
    </w:rPr>
  </w:style>
  <w:style w:type="paragraph" w:styleId="9">
    <w:name w:val="header"/>
    <w:basedOn w:val="1"/>
    <w:qFormat/>
    <w:uiPriority w:val="0"/>
    <w:pPr>
      <w:tabs>
        <w:tab w:val="center" w:pos="4153"/>
        <w:tab w:val="right" w:pos="8306"/>
      </w:tabs>
      <w:snapToGrid w:val="0"/>
    </w:pPr>
    <w:rPr>
      <w:sz w:val="18"/>
    </w:rPr>
  </w:style>
  <w:style w:type="character" w:styleId="12">
    <w:name w:val="annotation reference"/>
    <w:basedOn w:val="11"/>
    <w:qFormat/>
    <w:uiPriority w:val="0"/>
    <w:rPr>
      <w:sz w:val="21"/>
      <w:szCs w:val="21"/>
    </w:rPr>
  </w:style>
  <w:style w:type="character" w:customStyle="1" w:styleId="13">
    <w:name w:val="font101"/>
    <w:basedOn w:val="11"/>
    <w:qFormat/>
    <w:uiPriority w:val="0"/>
    <w:rPr>
      <w:rFonts w:hint="eastAsia" w:ascii="宋体" w:hAnsi="宋体" w:eastAsia="宋体" w:cs="宋体"/>
      <w:b/>
      <w:bCs/>
      <w:color w:val="FF0000"/>
      <w:sz w:val="20"/>
      <w:szCs w:val="20"/>
      <w:u w:val="none"/>
    </w:rPr>
  </w:style>
  <w:style w:type="character" w:customStyle="1" w:styleId="14">
    <w:name w:val="font61"/>
    <w:basedOn w:val="11"/>
    <w:qFormat/>
    <w:uiPriority w:val="0"/>
    <w:rPr>
      <w:rFonts w:hint="eastAsia" w:ascii="宋体" w:hAnsi="宋体" w:eastAsia="宋体" w:cs="宋体"/>
      <w:b/>
      <w:bCs/>
      <w:color w:val="000000"/>
      <w:sz w:val="20"/>
      <w:szCs w:val="20"/>
      <w:u w:val="none"/>
    </w:rPr>
  </w:style>
  <w:style w:type="character" w:customStyle="1" w:styleId="15">
    <w:name w:val="font81"/>
    <w:basedOn w:val="11"/>
    <w:qFormat/>
    <w:uiPriority w:val="0"/>
    <w:rPr>
      <w:rFonts w:hint="eastAsia" w:ascii="宋体" w:hAnsi="宋体" w:eastAsia="宋体" w:cs="宋体"/>
      <w:color w:val="000000"/>
      <w:sz w:val="20"/>
      <w:szCs w:val="20"/>
      <w:u w:val="none"/>
    </w:rPr>
  </w:style>
  <w:style w:type="character" w:customStyle="1" w:styleId="16">
    <w:name w:val="font141"/>
    <w:basedOn w:val="11"/>
    <w:qFormat/>
    <w:uiPriority w:val="0"/>
    <w:rPr>
      <w:rFonts w:hint="eastAsia" w:ascii="宋体" w:hAnsi="宋体" w:eastAsia="宋体" w:cs="宋体"/>
      <w:color w:val="FF0000"/>
      <w:sz w:val="20"/>
      <w:szCs w:val="20"/>
      <w:u w:val="none"/>
    </w:rPr>
  </w:style>
  <w:style w:type="character" w:customStyle="1" w:styleId="17">
    <w:name w:val="font112"/>
    <w:basedOn w:val="11"/>
    <w:qFormat/>
    <w:uiPriority w:val="0"/>
    <w:rPr>
      <w:rFonts w:hint="eastAsia" w:ascii="宋体" w:hAnsi="宋体" w:eastAsia="宋体" w:cs="宋体"/>
      <w:color w:val="000000"/>
      <w:sz w:val="21"/>
      <w:szCs w:val="21"/>
      <w:u w:val="none"/>
    </w:rPr>
  </w:style>
  <w:style w:type="character" w:customStyle="1" w:styleId="18">
    <w:name w:val="font121"/>
    <w:basedOn w:val="11"/>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61</Pages>
  <Words>15015</Words>
  <Characters>16031</Characters>
  <Lines>12</Lines>
  <Paragraphs>3</Paragraphs>
  <TotalTime>3</TotalTime>
  <ScaleCrop>false</ScaleCrop>
  <LinksUpToDate>false</LinksUpToDate>
  <CharactersWithSpaces>16210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2022-01-19T09:38:00Z</dcterms:created>
  <dc:creator>admin</dc:creator>
  <cp:lastModifiedBy>谢丹</cp:lastModifiedBy>
  <cp:lastPrinted>2024-01-15T17:40:00Z</cp:lastPrinted>
  <dcterms:modified xsi:type="dcterms:W3CDTF">2025-02-05T08:57:19Z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9FD3BF6344924384A000C58931980E3E_13</vt:lpwstr>
  </property>
  <property fmtid="{D5CDD505-2E9C-101B-9397-08002B2CF9AE}" pid="4" name="KSOTemplateDocerSaveRecord">
    <vt:lpwstr>eyJoZGlkIjoiZTI2ZmIyODA5YWRjOTY3ZjJhNmVlNjIwZmYzNzY5NTYiLCJ1c2VySWQiOiI0NTgxODk2ODUifQ==</vt:lpwstr>
  </property>
</Properties>
</file>