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  <w:t>贵安新区工程建设项目审批制度改革宣传培训实施方案（试行）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为贯彻落实党中央、国务院深化“放管服”改革和优化营商环境的部署要求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,根据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《贵州省优化营商环境条例》、《贵安新区全面开展工程建设项目审批制度改革工作实施方案》等文件要求，进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一步加强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贵安新区工程建设项目审批制度改革宣传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培训力度，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强化政企沟通联动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提升企业满意度，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推动改革工作有序开展，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结合新区实际，特制定本方案。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一、工作目的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通过大力宣传培训，将贵安新区工程建设项目审批制度改革工作落到实处，广泛宣传贵安特色、亮点做法、先进经验，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推动新区营造良好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氛围，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提升“帮办代办”质量，提高办事效率，减轻企业负担，促进建设项目早落地，早投产，进一步提高企业满意度。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二、宣传内容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（一）重要活动。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贵安新区全面开展工程建设项目审批制度改革工作（以下称“工改工作”）有关重要会议、培训、调研、督导、考核等。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（二）重要政策。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深入学习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工程建设项目审批制度改革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的重大意义，深入学习国家、省、新区有关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工程建设项目审批制度改革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的方针政策、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等重要文件精神。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（三）重要进展。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“统一审批流程、统一信息数据平台、统一审批管理体系、统一监管方式”等推进情况；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贵安新区工程建设项目审批事项清单及流程图和“1+10”系列实施方案等工作推进情况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重要经验。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贵安新区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工程建设项目审批制度改革工作亮点或先进做法，省外值得借鉴的工作做法等。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三、具体措施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（一）新媒体宣传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以贵安新区管理委员会门户网站、贵安新区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深化审批制度改革优化营商环境专题专栏网站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、微信公众号、多媒体报道、手机APP等渠道，多形式、多角度、全方位、全流程开展宣传培训工作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（二）宣讲培训宣传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编印贵安新区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工程建设项目审批制度改革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政策汇编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政策解读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一图读懂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典型案例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宣传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材料，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系统操作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指引、区域评估技术规程等指导性文件手册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；开展各类培训，采用专题培训会、集中学习培训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方式，对审核审批、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企业报建、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窗口人员、帮办代办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等人员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全方位、全流程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培训和指导；探索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将贵安新区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工程建设项目审批制度改革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政策纳入三类人员常态化培训内容，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主动送政策“上门”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等方式开展。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（三）广泛社会宣传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制作图文并茂的工改工作宣传手册或传单、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视频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演示等，通过政务服务大厅及政府办公场所扩大对服务对象宣传；利用户外平面广告、电子屏幕、工地宣传栏等，扩大社会宣传；通过三大通讯运营商、华为、腾讯等以“大数据”算法形式向目标人员精准发送宣传信息，扩大社会宣传，畅通企业、群众获取新区工改工作咨讯渠道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四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、保障措施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（一）强化领导，精心组织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各部门、园区管委会、相关平台公司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</w:rPr>
        <w:t>应主动作为、密切配合，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部门分管负责人亲自抓落实，制定工作方案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精心谋划选题，在重要媒体、重要时段推出重点报道，确保新闻宣传有声势、有力度、有实效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落实责任，有序实施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各部门、园区管委会、相关平台公司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要按任务分工抓好落实，结合改革进展和任务安排，积极落实宣传培训工作，确保新区工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程建设项目审批制度改革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宣传培训工作有序开展。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同时，要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及时制定工程建设项目审批制度改革宣传培训资金计划，对接新区财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政金融工作局，确保开展宣传培训相关工作的资金需求保障。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u w:val="none"/>
          <w:lang w:val="en-US" w:eastAsia="zh-CN" w:bidi="ar"/>
        </w:rPr>
        <w:t>突出重点，务求实效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各部门、园区管委会、相关平台公司</w:t>
      </w: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要结合自身实际，突出工作重点，创新工作方式，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避免形式主义，少报道活动程序内容，多报道改革取得的优秀经验、实际成效，</w:t>
      </w: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全力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营造</w:t>
      </w:r>
      <w:r>
        <w:rPr>
          <w:rFonts w:hint="eastAsia" w:asci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贵安新区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营商环境“政企合力、携手共建”的舆论氛围。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MDY2Mzg5Mjg2MWNmYTM3M2I5ODFjYjEzODA3ZTUifQ=="/>
  </w:docVars>
  <w:rsids>
    <w:rsidRoot w:val="07A84353"/>
    <w:rsid w:val="00EE7D2B"/>
    <w:rsid w:val="01AC2138"/>
    <w:rsid w:val="021C21A0"/>
    <w:rsid w:val="023E648B"/>
    <w:rsid w:val="029E3495"/>
    <w:rsid w:val="02E63E21"/>
    <w:rsid w:val="037B1026"/>
    <w:rsid w:val="04EB1779"/>
    <w:rsid w:val="060C70B7"/>
    <w:rsid w:val="07A84353"/>
    <w:rsid w:val="08736543"/>
    <w:rsid w:val="094B67AF"/>
    <w:rsid w:val="09831FA3"/>
    <w:rsid w:val="09CB7C15"/>
    <w:rsid w:val="09E351DA"/>
    <w:rsid w:val="0A0A71C8"/>
    <w:rsid w:val="0B2F38AE"/>
    <w:rsid w:val="0BE045FC"/>
    <w:rsid w:val="0D383B48"/>
    <w:rsid w:val="0D42037F"/>
    <w:rsid w:val="0F18675B"/>
    <w:rsid w:val="0F5B20E4"/>
    <w:rsid w:val="0F7B0C1A"/>
    <w:rsid w:val="10274502"/>
    <w:rsid w:val="102A62FA"/>
    <w:rsid w:val="10D12927"/>
    <w:rsid w:val="12F612FF"/>
    <w:rsid w:val="130D6924"/>
    <w:rsid w:val="13191375"/>
    <w:rsid w:val="134B443E"/>
    <w:rsid w:val="13FA00F9"/>
    <w:rsid w:val="1476705D"/>
    <w:rsid w:val="14BF1AF4"/>
    <w:rsid w:val="150F7741"/>
    <w:rsid w:val="15420643"/>
    <w:rsid w:val="15B95DBA"/>
    <w:rsid w:val="15BC7D9C"/>
    <w:rsid w:val="170B279F"/>
    <w:rsid w:val="18323931"/>
    <w:rsid w:val="185E3441"/>
    <w:rsid w:val="18605C2D"/>
    <w:rsid w:val="18EE65A0"/>
    <w:rsid w:val="1CF26DD6"/>
    <w:rsid w:val="1DF83225"/>
    <w:rsid w:val="1FEE38AC"/>
    <w:rsid w:val="205C265A"/>
    <w:rsid w:val="20FD5908"/>
    <w:rsid w:val="212529A6"/>
    <w:rsid w:val="22095A9A"/>
    <w:rsid w:val="22424DA1"/>
    <w:rsid w:val="22A631C5"/>
    <w:rsid w:val="22F43AF1"/>
    <w:rsid w:val="23E1518A"/>
    <w:rsid w:val="252D383C"/>
    <w:rsid w:val="27FF7627"/>
    <w:rsid w:val="2808449A"/>
    <w:rsid w:val="287A2B0B"/>
    <w:rsid w:val="29552CFF"/>
    <w:rsid w:val="2A306646"/>
    <w:rsid w:val="2A5972C2"/>
    <w:rsid w:val="2B9357E9"/>
    <w:rsid w:val="2CBE2A36"/>
    <w:rsid w:val="2D4825D3"/>
    <w:rsid w:val="2F9F30D7"/>
    <w:rsid w:val="321C707C"/>
    <w:rsid w:val="32B467EF"/>
    <w:rsid w:val="33174844"/>
    <w:rsid w:val="33FF6CAF"/>
    <w:rsid w:val="34173C8B"/>
    <w:rsid w:val="34A43824"/>
    <w:rsid w:val="34D839D8"/>
    <w:rsid w:val="35F92A12"/>
    <w:rsid w:val="364344F5"/>
    <w:rsid w:val="364C3B4D"/>
    <w:rsid w:val="36DF4D87"/>
    <w:rsid w:val="390121BB"/>
    <w:rsid w:val="3B8D4C3A"/>
    <w:rsid w:val="3CD20BF1"/>
    <w:rsid w:val="3D717430"/>
    <w:rsid w:val="3D996541"/>
    <w:rsid w:val="3DC578FD"/>
    <w:rsid w:val="3E0939ED"/>
    <w:rsid w:val="3E7E107F"/>
    <w:rsid w:val="3F3649C3"/>
    <w:rsid w:val="3F4732FB"/>
    <w:rsid w:val="40586F29"/>
    <w:rsid w:val="40F64B68"/>
    <w:rsid w:val="415F1D8A"/>
    <w:rsid w:val="42381955"/>
    <w:rsid w:val="42EE57BB"/>
    <w:rsid w:val="43BB774C"/>
    <w:rsid w:val="44143FB6"/>
    <w:rsid w:val="4483732F"/>
    <w:rsid w:val="44A55536"/>
    <w:rsid w:val="44DA7242"/>
    <w:rsid w:val="474970DE"/>
    <w:rsid w:val="47B2042B"/>
    <w:rsid w:val="4830742F"/>
    <w:rsid w:val="48E547D0"/>
    <w:rsid w:val="4A4D65E8"/>
    <w:rsid w:val="4AF6001B"/>
    <w:rsid w:val="4B366CDC"/>
    <w:rsid w:val="4B510748"/>
    <w:rsid w:val="4E11733E"/>
    <w:rsid w:val="503569BF"/>
    <w:rsid w:val="504F1A87"/>
    <w:rsid w:val="505C56B5"/>
    <w:rsid w:val="50F02793"/>
    <w:rsid w:val="51CE1054"/>
    <w:rsid w:val="51F30411"/>
    <w:rsid w:val="52CD7813"/>
    <w:rsid w:val="54102273"/>
    <w:rsid w:val="541618F3"/>
    <w:rsid w:val="55A657BB"/>
    <w:rsid w:val="56C80EB5"/>
    <w:rsid w:val="59DF7F59"/>
    <w:rsid w:val="5DB67566"/>
    <w:rsid w:val="5F6A7EF1"/>
    <w:rsid w:val="604215CD"/>
    <w:rsid w:val="60DA0732"/>
    <w:rsid w:val="629C47F3"/>
    <w:rsid w:val="63B156AD"/>
    <w:rsid w:val="64424801"/>
    <w:rsid w:val="657A3089"/>
    <w:rsid w:val="660D77F0"/>
    <w:rsid w:val="66C56A69"/>
    <w:rsid w:val="67C1457F"/>
    <w:rsid w:val="69960BB6"/>
    <w:rsid w:val="6A1A4950"/>
    <w:rsid w:val="6A5B19CE"/>
    <w:rsid w:val="6FFC4A87"/>
    <w:rsid w:val="716A071E"/>
    <w:rsid w:val="71CC56DA"/>
    <w:rsid w:val="7270310C"/>
    <w:rsid w:val="76BB0CF7"/>
    <w:rsid w:val="77D153C0"/>
    <w:rsid w:val="78D1761D"/>
    <w:rsid w:val="78E1384C"/>
    <w:rsid w:val="799B0153"/>
    <w:rsid w:val="7BF13A77"/>
    <w:rsid w:val="7C0B4A62"/>
    <w:rsid w:val="7C1B3539"/>
    <w:rsid w:val="7D5B508E"/>
    <w:rsid w:val="7E400B1C"/>
    <w:rsid w:val="7E870EE8"/>
    <w:rsid w:val="7E88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1941</Words>
  <Characters>1954</Characters>
  <Lines>0</Lines>
  <Paragraphs>0</Paragraphs>
  <TotalTime>7</TotalTime>
  <ScaleCrop>false</ScaleCrop>
  <LinksUpToDate>false</LinksUpToDate>
  <CharactersWithSpaces>1954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2022-07-06T12:46:00Z</dcterms:created>
  <dc:creator>K</dc:creator>
  <cp:lastModifiedBy>lenovo</cp:lastModifiedBy>
  <dcterms:modified xsi:type="dcterms:W3CDTF">2022-07-26T02:17:56Z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E1758E869EE44904BA642892849A4084</vt:lpwstr>
  </property>
</Properties>
</file>