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wordWrap/>
        <w:overflowPunct/>
        <w:topLinePunct w:val="0"/>
        <w:autoSpaceDE/>
        <w:autoSpaceDN/>
        <w:bidi w:val="0"/>
        <w:adjustRightInd/>
        <w:snapToGrid/>
        <w:spacing w:line="560" w:lineRule="exact"/>
        <w:jc w:val="center"/>
        <w:textAlignment w:val="baseline"/>
        <w:rPr>
          <w:rFonts w:hint="eastAsia" w:ascii="方正小标宋简体" w:hAnsi="方正小标宋简体" w:eastAsia="方正小标宋简体" w:cs="方正小标宋简体"/>
          <w:b w:val="0"/>
          <w:bCs/>
          <w:color w:val="auto"/>
          <w:sz w:val="44"/>
          <w:szCs w:val="44"/>
          <w:u w:val="none"/>
          <w:lang w:eastAsia="zh-CN"/>
        </w:rPr>
      </w:pPr>
      <w:r>
        <w:rPr>
          <w:rFonts w:hint="eastAsia" w:ascii="方正小标宋简体" w:hAnsi="方正小标宋简体" w:eastAsia="方正小标宋简体" w:cs="方正小标宋简体"/>
          <w:b w:val="0"/>
          <w:bCs/>
          <w:color w:val="auto"/>
          <w:sz w:val="44"/>
          <w:szCs w:val="44"/>
          <w:u w:val="none"/>
          <w:lang w:val="en-US" w:eastAsia="zh-CN"/>
        </w:rPr>
        <w:t>关于进一步优化</w:t>
      </w:r>
      <w:r>
        <w:rPr>
          <w:rFonts w:hint="eastAsia" w:ascii="方正小标宋简体" w:hAnsi="方正小标宋简体" w:eastAsia="方正小标宋简体" w:cs="方正小标宋简体"/>
          <w:b w:val="0"/>
          <w:bCs/>
          <w:color w:val="auto"/>
          <w:sz w:val="44"/>
          <w:szCs w:val="44"/>
          <w:u w:val="none"/>
          <w:lang w:eastAsia="zh-CN"/>
        </w:rPr>
        <w:t>贵安新区工程建设项目</w:t>
      </w:r>
    </w:p>
    <w:p>
      <w:pPr>
        <w:keepNext w:val="0"/>
        <w:keepLines w:val="0"/>
        <w:pageBreakBefore w:val="0"/>
        <w:widowControl/>
        <w:kinsoku/>
        <w:wordWrap/>
        <w:overflowPunct/>
        <w:topLinePunct w:val="0"/>
        <w:autoSpaceDE/>
        <w:autoSpaceDN/>
        <w:bidi w:val="0"/>
        <w:adjustRightInd/>
        <w:snapToGrid/>
        <w:spacing w:line="560" w:lineRule="exact"/>
        <w:jc w:val="center"/>
        <w:textAlignment w:val="baseline"/>
        <w:rPr>
          <w:rFonts w:hint="eastAsia" w:ascii="方正小标宋简体" w:hAnsi="方正小标宋简体" w:eastAsia="方正小标宋简体" w:cs="方正小标宋简体"/>
          <w:b w:val="0"/>
          <w:bCs/>
          <w:color w:val="auto"/>
          <w:sz w:val="44"/>
          <w:szCs w:val="44"/>
          <w:u w:val="none"/>
          <w:lang w:eastAsia="zh-CN"/>
        </w:rPr>
      </w:pPr>
      <w:r>
        <w:rPr>
          <w:rFonts w:hint="eastAsia" w:ascii="方正小标宋简体" w:hAnsi="方正小标宋简体" w:eastAsia="方正小标宋简体" w:cs="方正小标宋简体"/>
          <w:b w:val="0"/>
          <w:bCs/>
          <w:color w:val="auto"/>
          <w:sz w:val="44"/>
          <w:szCs w:val="44"/>
          <w:u w:val="none"/>
          <w:lang w:eastAsia="zh-CN"/>
        </w:rPr>
        <w:t>区域评估</w:t>
      </w:r>
      <w:r>
        <w:rPr>
          <w:rFonts w:hint="eastAsia" w:ascii="方正小标宋简体" w:hAnsi="方正小标宋简体" w:eastAsia="方正小标宋简体" w:cs="方正小标宋简体"/>
          <w:b w:val="0"/>
          <w:bCs/>
          <w:color w:val="auto"/>
          <w:sz w:val="44"/>
          <w:szCs w:val="44"/>
          <w:u w:val="none"/>
          <w:lang w:val="en-US" w:eastAsia="zh-CN"/>
        </w:rPr>
        <w:t>实施</w:t>
      </w:r>
      <w:r>
        <w:rPr>
          <w:rFonts w:hint="eastAsia" w:ascii="方正小标宋简体" w:hAnsi="方正小标宋简体" w:eastAsia="方正小标宋简体" w:cs="方正小标宋简体"/>
          <w:b w:val="0"/>
          <w:bCs/>
          <w:color w:val="auto"/>
          <w:sz w:val="44"/>
          <w:szCs w:val="44"/>
          <w:u w:val="none"/>
          <w:lang w:eastAsia="zh-CN"/>
        </w:rPr>
        <w:t>方案（试行）</w:t>
      </w:r>
    </w:p>
    <w:p>
      <w:pPr>
        <w:keepNext w:val="0"/>
        <w:keepLines w:val="0"/>
        <w:pageBreakBefore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color w:val="auto"/>
          <w:sz w:val="32"/>
          <w:szCs w:val="32"/>
          <w:u w:val="none"/>
          <w:lang w:val="en-US" w:eastAsia="zh-CN"/>
        </w:rPr>
      </w:pPr>
    </w:p>
    <w:p>
      <w:pPr>
        <w:keepNext w:val="0"/>
        <w:keepLines w:val="0"/>
        <w:pageBreakBefore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t>为进一步降低企业成本，深化“放管服”改革，优化营商环境，贯彻落实《贵州省优化营商环境条例》、《贵阳贵安贯彻落实&lt;贵州省优化营商环境条例&gt;的通知》、《贵安新区全面开展工程建设项目审批制度改革工作实施方案》等文件要求，按照《贵安新区工程建设项目区域评估实施细则（试行）》，结合新区实际，特制定本方案。</w:t>
      </w:r>
    </w:p>
    <w:p>
      <w:pPr>
        <w:keepNext w:val="0"/>
        <w:keepLines w:val="0"/>
        <w:pageBreakBefore w:val="0"/>
        <w:numPr>
          <w:ilvl w:val="0"/>
          <w:numId w:val="1"/>
        </w:numPr>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黑体" w:hAnsi="黑体" w:eastAsia="黑体" w:cs="黑体"/>
          <w:i w:val="0"/>
          <w:caps w:val="0"/>
          <w:color w:val="auto"/>
          <w:spacing w:val="0"/>
          <w:sz w:val="32"/>
          <w:szCs w:val="32"/>
          <w:u w:val="none"/>
          <w:lang w:eastAsia="zh-CN"/>
        </w:rPr>
      </w:pPr>
      <w:r>
        <w:rPr>
          <w:rFonts w:hint="eastAsia" w:ascii="黑体" w:hAnsi="黑体" w:eastAsia="黑体" w:cs="黑体"/>
          <w:i w:val="0"/>
          <w:caps w:val="0"/>
          <w:color w:val="auto"/>
          <w:spacing w:val="0"/>
          <w:sz w:val="32"/>
          <w:szCs w:val="32"/>
          <w:u w:val="none"/>
          <w:lang w:eastAsia="zh-CN"/>
        </w:rPr>
        <w:t>工作目的</w:t>
      </w:r>
    </w:p>
    <w:p>
      <w:pPr>
        <w:keepNext w:val="0"/>
        <w:keepLines w:val="0"/>
        <w:pageBreakBefore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黑体" w:hAnsi="黑体" w:eastAsia="黑体" w:cs="黑体"/>
          <w:i w:val="0"/>
          <w:caps w:val="0"/>
          <w:color w:val="auto"/>
          <w:spacing w:val="0"/>
          <w:sz w:val="32"/>
          <w:szCs w:val="32"/>
          <w:u w:val="none"/>
          <w:lang w:eastAsia="zh-CN"/>
        </w:rPr>
      </w:pPr>
      <w:r>
        <w:rPr>
          <w:rFonts w:hint="eastAsia" w:ascii="仿宋_GB2312" w:hAnsi="仿宋_GB2312" w:eastAsia="仿宋_GB2312" w:cs="仿宋_GB2312"/>
          <w:i w:val="0"/>
          <w:caps w:val="0"/>
          <w:color w:val="auto"/>
          <w:spacing w:val="0"/>
          <w:sz w:val="32"/>
          <w:szCs w:val="32"/>
          <w:u w:val="none"/>
          <w:lang w:val="en-US" w:eastAsia="zh-CN"/>
        </w:rPr>
        <w:t>在贵安新区特定区域范围内，对工程建设项目审批过程中具有共性的前置性评估、评价事项提前实施统一集中评估、评审，形成整体性、区域化评估评审结果，提供给进入该区域的工程建设项目共享使用，由工程建设项目评估评审的单体评估变为区域评估，由企业申请后评审变为政府提前服务。通过推动区域评估成果的运用，深化区域综合评估，优化规划用地审批管理，推行投资项目“用地清单制+告知承诺制”改革,逐步解决目前建设项目评估评审手续多、时间长等问题，进一步提高新区审批服务效率，减轻企业负担，促进建设项目早落地，早投产。</w:t>
      </w:r>
    </w:p>
    <w:p>
      <w:pPr>
        <w:keepNext w:val="0"/>
        <w:keepLines w:val="0"/>
        <w:pageBreakBefore w:val="0"/>
        <w:numPr>
          <w:ilvl w:val="0"/>
          <w:numId w:val="1"/>
        </w:numPr>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黑体" w:hAnsi="黑体" w:eastAsia="黑体" w:cs="黑体"/>
          <w:i w:val="0"/>
          <w:caps w:val="0"/>
          <w:color w:val="auto"/>
          <w:spacing w:val="0"/>
          <w:sz w:val="32"/>
          <w:szCs w:val="32"/>
          <w:u w:val="none"/>
          <w:lang w:eastAsia="zh-CN"/>
        </w:rPr>
      </w:pPr>
      <w:r>
        <w:rPr>
          <w:rFonts w:hint="eastAsia" w:ascii="黑体" w:hAnsi="黑体" w:eastAsia="黑体" w:cs="黑体"/>
          <w:i w:val="0"/>
          <w:caps w:val="0"/>
          <w:color w:val="auto"/>
          <w:spacing w:val="0"/>
          <w:sz w:val="32"/>
          <w:szCs w:val="32"/>
          <w:u w:val="none"/>
          <w:lang w:eastAsia="zh-CN"/>
        </w:rPr>
        <w:t>实施内容</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r>
        <w:rPr>
          <w:rFonts w:hint="eastAsia" w:ascii="楷体_GB2312" w:hAnsi="楷体_GB2312" w:eastAsia="楷体_GB2312" w:cs="楷体_GB2312"/>
          <w:i w:val="0"/>
          <w:caps w:val="0"/>
          <w:color w:val="auto"/>
          <w:spacing w:val="0"/>
          <w:kern w:val="0"/>
          <w:sz w:val="32"/>
          <w:szCs w:val="32"/>
          <w:u w:val="none"/>
          <w:lang w:val="en-US" w:eastAsia="zh-CN" w:bidi="ar"/>
        </w:rPr>
        <w:t>（一）实施范围。</w:t>
      </w:r>
      <w:r>
        <w:rPr>
          <w:rFonts w:hint="eastAsia" w:ascii="仿宋_GB2312" w:hAnsi="仿宋_GB2312" w:eastAsia="仿宋_GB2312" w:cs="仿宋_GB2312"/>
          <w:i w:val="0"/>
          <w:caps w:val="0"/>
          <w:color w:val="auto"/>
          <w:spacing w:val="0"/>
          <w:sz w:val="32"/>
          <w:szCs w:val="32"/>
          <w:u w:val="none"/>
          <w:lang w:val="en-US" w:eastAsia="zh-CN"/>
        </w:rPr>
        <w:t>在贵安新区直管区苏贵产业园、贵阳大数据科创城（一期）、高端装备制造园（南北区含龙山工业园）、新能源产业园、数据中心聚集区、贵安综保区、软件服务区等工业产业区域推行区域评估工作。（详情见附表1）</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t>（二）实施主体</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default"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t>1.由苏贵产业园区管委会负责苏贵产业园的区域评估工作。</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default"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t>2.由贵阳产业发展控股集团有限公司负责贵阳大数据科创城（一期）区域评估工作。</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default"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t>3.由贵安新区产业投资有限公司负责高端装备制造园（南北区含龙山工业园）的区域评估工作。</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t>4.由贵安新区工业和信息化局负责数据中心聚集区（含互联网头部企业板块）、软件服务区的区域评估工作。</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t>5.由贵安新区综保区管委会负责贵安综保区的区域评估工作。</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t>6.由贵安新区产业发展控股集团有限公司负责新能源产业园的区域评估工作。</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ascii="仿宋_GB2312" w:hAnsi="仿宋_GB2312" w:eastAsia="仿宋_GB2312" w:cs="仿宋_GB2312"/>
          <w:b/>
          <w:bCs/>
          <w:i w:val="0"/>
          <w:caps w:val="0"/>
          <w:color w:val="auto"/>
          <w:spacing w:val="0"/>
          <w:sz w:val="32"/>
          <w:szCs w:val="32"/>
          <w:u w:val="none"/>
          <w:lang w:val="en-US" w:eastAsia="zh-CN"/>
        </w:rPr>
      </w:pPr>
      <w:r>
        <w:rPr>
          <w:rFonts w:hint="eastAsia" w:ascii="楷体_GB2312" w:hAnsi="楷体_GB2312" w:eastAsia="楷体_GB2312" w:cs="楷体_GB2312"/>
          <w:i w:val="0"/>
          <w:caps w:val="0"/>
          <w:color w:val="auto"/>
          <w:spacing w:val="0"/>
          <w:kern w:val="0"/>
          <w:sz w:val="32"/>
          <w:szCs w:val="32"/>
          <w:u w:val="none"/>
          <w:lang w:val="en-US" w:eastAsia="zh-CN" w:bidi="ar"/>
        </w:rPr>
        <w:t>（三）评估事项。</w:t>
      </w:r>
      <w:r>
        <w:rPr>
          <w:rFonts w:hint="eastAsia" w:ascii="仿宋_GB2312" w:hAnsi="仿宋_GB2312" w:eastAsia="仿宋_GB2312" w:cs="仿宋_GB2312"/>
          <w:b/>
          <w:bCs/>
          <w:i w:val="0"/>
          <w:caps w:val="0"/>
          <w:color w:val="auto"/>
          <w:spacing w:val="0"/>
          <w:sz w:val="32"/>
          <w:szCs w:val="32"/>
          <w:u w:val="none"/>
          <w:lang w:val="en-US" w:eastAsia="zh-CN"/>
        </w:rPr>
        <w:t>节能评价、</w:t>
      </w:r>
      <w:r>
        <w:rPr>
          <w:rFonts w:hint="eastAsia" w:ascii="仿宋_GB2312" w:hAnsi="仿宋_GB2312" w:eastAsia="仿宋_GB2312" w:cs="仿宋_GB2312"/>
          <w:b/>
          <w:bCs/>
          <w:i w:val="0"/>
          <w:caps w:val="0"/>
          <w:color w:val="auto"/>
          <w:spacing w:val="0"/>
          <w:sz w:val="32"/>
          <w:szCs w:val="32"/>
          <w:u w:val="none"/>
          <w:lang w:eastAsia="zh-CN"/>
        </w:rPr>
        <w:t>压覆重要矿产资评估、地质灾害危险性评估、交通影响评价、环境影响评价、建设项目安全评价、地震安全性评价、水土保持方案、考古调查勘探</w:t>
      </w:r>
      <w:r>
        <w:rPr>
          <w:rFonts w:hint="eastAsia" w:ascii="仿宋_GB2312" w:hAnsi="仿宋_GB2312" w:eastAsia="仿宋_GB2312" w:cs="仿宋_GB2312"/>
          <w:b/>
          <w:bCs/>
          <w:i w:val="0"/>
          <w:caps w:val="0"/>
          <w:color w:val="auto"/>
          <w:spacing w:val="0"/>
          <w:sz w:val="32"/>
          <w:szCs w:val="32"/>
          <w:u w:val="none"/>
          <w:lang w:val="en-US" w:eastAsia="zh-CN"/>
        </w:rPr>
        <w:t>9</w:t>
      </w:r>
      <w:r>
        <w:rPr>
          <w:rFonts w:hint="eastAsia" w:ascii="仿宋_GB2312" w:hAnsi="仿宋_GB2312" w:eastAsia="仿宋_GB2312" w:cs="仿宋_GB2312"/>
          <w:b/>
          <w:bCs/>
          <w:i w:val="0"/>
          <w:caps w:val="0"/>
          <w:color w:val="auto"/>
          <w:spacing w:val="0"/>
          <w:sz w:val="32"/>
          <w:szCs w:val="32"/>
          <w:u w:val="none"/>
          <w:lang w:eastAsia="zh-CN"/>
        </w:rPr>
        <w:t>项</w:t>
      </w:r>
      <w:r>
        <w:rPr>
          <w:rFonts w:hint="eastAsia" w:ascii="仿宋_GB2312" w:hAnsi="仿宋_GB2312" w:eastAsia="仿宋_GB2312" w:cs="仿宋_GB2312"/>
          <w:b/>
          <w:bCs/>
          <w:i w:val="0"/>
          <w:caps w:val="0"/>
          <w:color w:val="auto"/>
          <w:spacing w:val="0"/>
          <w:sz w:val="32"/>
          <w:szCs w:val="32"/>
          <w:u w:val="none"/>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楷体_GB2312" w:hAnsi="楷体_GB2312" w:eastAsia="楷体_GB2312" w:cs="楷体_GB2312"/>
          <w:i w:val="0"/>
          <w:caps w:val="0"/>
          <w:color w:val="auto"/>
          <w:spacing w:val="0"/>
          <w:kern w:val="0"/>
          <w:sz w:val="32"/>
          <w:szCs w:val="32"/>
          <w:u w:val="none"/>
          <w:lang w:val="en-US" w:eastAsia="zh-CN" w:bidi="ar"/>
        </w:rPr>
      </w:pPr>
      <w:r>
        <w:rPr>
          <w:rFonts w:hint="eastAsia" w:ascii="楷体_GB2312" w:hAnsi="楷体_GB2312" w:eastAsia="楷体_GB2312" w:cs="楷体_GB2312"/>
          <w:i w:val="0"/>
          <w:caps w:val="0"/>
          <w:color w:val="auto"/>
          <w:spacing w:val="0"/>
          <w:kern w:val="0"/>
          <w:sz w:val="32"/>
          <w:szCs w:val="32"/>
          <w:u w:val="none"/>
          <w:lang w:val="en-US" w:eastAsia="zh-CN" w:bidi="ar"/>
        </w:rPr>
        <w:t>（四）评估内容</w:t>
      </w:r>
    </w:p>
    <w:p>
      <w:pPr>
        <w:pStyle w:val="18"/>
        <w:keepNext w:val="0"/>
        <w:keepLines w:val="0"/>
        <w:widowControl w:val="0"/>
        <w:shd w:val="clear" w:color="auto" w:fill="auto"/>
        <w:bidi w:val="0"/>
        <w:spacing w:before="0" w:after="0" w:line="561" w:lineRule="exact"/>
        <w:ind w:left="0" w:right="0" w:firstLine="680"/>
        <w:jc w:val="both"/>
        <w:rPr>
          <w:rFonts w:hint="eastAsia" w:ascii="仿宋_GB2312" w:hAnsi="仿宋_GB2312" w:eastAsia="仿宋_GB2312" w:cs="仿宋_GB2312"/>
          <w:b/>
          <w:bCs/>
          <w:color w:val="auto"/>
          <w:sz w:val="32"/>
          <w:szCs w:val="32"/>
          <w:lang w:val="en-US" w:eastAsia="zh-CN"/>
        </w:rPr>
      </w:pPr>
      <w:r>
        <w:rPr>
          <w:rFonts w:hint="eastAsia" w:ascii="仿宋_GB2312" w:hAnsi="仿宋_GB2312" w:eastAsia="仿宋_GB2312" w:cs="仿宋_GB2312"/>
          <w:b/>
          <w:bCs/>
          <w:color w:val="auto"/>
          <w:sz w:val="32"/>
          <w:szCs w:val="32"/>
          <w:lang w:val="en-US" w:eastAsia="zh-CN"/>
        </w:rPr>
        <w:t>1.</w:t>
      </w:r>
      <w:r>
        <w:rPr>
          <w:rFonts w:hint="eastAsia" w:ascii="仿宋_GB2312" w:hAnsi="仿宋_GB2312" w:eastAsia="仿宋_GB2312" w:cs="仿宋_GB2312"/>
          <w:b/>
          <w:bCs/>
          <w:i w:val="0"/>
          <w:caps w:val="0"/>
          <w:color w:val="auto"/>
          <w:spacing w:val="0"/>
          <w:sz w:val="32"/>
          <w:szCs w:val="32"/>
          <w:u w:val="none"/>
          <w:lang w:val="en-US" w:eastAsia="zh-CN"/>
        </w:rPr>
        <w:t>节能评价：</w:t>
      </w:r>
      <w:r>
        <w:rPr>
          <w:rFonts w:hint="eastAsia" w:ascii="仿宋_GB2312" w:hAnsi="仿宋_GB2312" w:eastAsia="仿宋_GB2312" w:cs="仿宋_GB2312"/>
          <w:color w:val="auto"/>
          <w:kern w:val="2"/>
          <w:sz w:val="32"/>
          <w:szCs w:val="32"/>
          <w:u w:val="none"/>
          <w:lang w:val="en-US" w:eastAsia="zh-CN" w:bidi="ar-SA"/>
        </w:rPr>
        <w:t>编制评估区域节能评价报告，依法提出可以在区域内投资建设的节能项目清单。</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b/>
          <w:bCs/>
          <w:color w:val="auto"/>
          <w:sz w:val="32"/>
          <w:szCs w:val="32"/>
          <w:lang w:val="en-US" w:eastAsia="zh-CN"/>
        </w:rPr>
        <w:t>2</w:t>
      </w:r>
      <w:r>
        <w:rPr>
          <w:rFonts w:hint="eastAsia" w:ascii="仿宋_GB2312" w:hAnsi="仿宋_GB2312" w:eastAsia="仿宋_GB2312" w:cs="仿宋_GB2312"/>
          <w:b/>
          <w:bCs/>
          <w:color w:val="auto"/>
          <w:sz w:val="32"/>
          <w:szCs w:val="32"/>
        </w:rPr>
        <w:t>.压覆重要矿产资评估：</w:t>
      </w:r>
      <w:r>
        <w:rPr>
          <w:rFonts w:hint="eastAsia" w:ascii="仿宋_GB2312" w:hAnsi="仿宋_GB2312" w:eastAsia="仿宋_GB2312" w:cs="仿宋_GB2312"/>
          <w:color w:val="auto"/>
          <w:sz w:val="32"/>
          <w:szCs w:val="32"/>
        </w:rPr>
        <w:t>根据评估区域查明登记的重要矿产资源分布情况，编制区域性压覆矿产资源调查评估报告。结合评估区建设规划对评估区域内整体压覆矿产资源情况进行评估，并提交处置要求和建议。</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b/>
          <w:bCs/>
          <w:color w:val="auto"/>
          <w:sz w:val="32"/>
          <w:szCs w:val="32"/>
          <w:lang w:val="en-US" w:eastAsia="zh-CN"/>
        </w:rPr>
        <w:t>3</w:t>
      </w:r>
      <w:r>
        <w:rPr>
          <w:rFonts w:hint="eastAsia" w:ascii="仿宋_GB2312" w:hAnsi="仿宋_GB2312" w:eastAsia="仿宋_GB2312" w:cs="仿宋_GB2312"/>
          <w:b/>
          <w:bCs/>
          <w:color w:val="auto"/>
          <w:sz w:val="32"/>
          <w:szCs w:val="32"/>
        </w:rPr>
        <w:t>.地质灾害危险性评估：</w:t>
      </w:r>
      <w:r>
        <w:rPr>
          <w:rFonts w:hint="eastAsia" w:ascii="仿宋_GB2312" w:hAnsi="仿宋_GB2312" w:eastAsia="仿宋_GB2312" w:cs="仿宋_GB2312"/>
          <w:color w:val="auto"/>
          <w:sz w:val="32"/>
          <w:szCs w:val="32"/>
        </w:rPr>
        <w:t>在实地调查的基础上组织编制评估区域地质灾害危险性评估报告，阐明评估区域的总体地质环境条件，结合评估区建设规划，对不同功能分区分类论证其地质环境条件和地质灾害危险性，进行地质灾害现状评估、预测评估和综合评价，在此基础上对评估区进行地质灾害危险性分区，并提出相应的防治措施和建议。</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b/>
          <w:bCs/>
          <w:color w:val="auto"/>
          <w:sz w:val="32"/>
          <w:szCs w:val="32"/>
          <w:lang w:val="en-US" w:eastAsia="zh-CN"/>
        </w:rPr>
        <w:t>4</w:t>
      </w:r>
      <w:r>
        <w:rPr>
          <w:rFonts w:hint="eastAsia" w:ascii="仿宋_GB2312" w:hAnsi="仿宋_GB2312" w:eastAsia="仿宋_GB2312" w:cs="仿宋_GB2312"/>
          <w:b/>
          <w:bCs/>
          <w:color w:val="auto"/>
          <w:sz w:val="32"/>
          <w:szCs w:val="32"/>
        </w:rPr>
        <w:t>.交通影响评价：</w:t>
      </w:r>
      <w:r>
        <w:rPr>
          <w:rFonts w:hint="eastAsia" w:ascii="仿宋_GB2312" w:hAnsi="仿宋_GB2312" w:eastAsia="仿宋_GB2312" w:cs="仿宋_GB2312"/>
          <w:color w:val="auto"/>
          <w:sz w:val="32"/>
          <w:szCs w:val="32"/>
          <w:lang w:eastAsia="zh-CN"/>
        </w:rPr>
        <w:t>分析预测和评估区域规划实施的交通运行状况，论证区域规划用地与交通设施规模和布局的匹配关系，明确交通管控要求，提出预防或者减轻不良交通影响的对策和措施，对项目地块出入口及交通组织提出控制性要求。</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b/>
          <w:bCs/>
          <w:color w:val="auto"/>
          <w:sz w:val="32"/>
          <w:szCs w:val="32"/>
          <w:lang w:val="en-US" w:eastAsia="zh-CN"/>
        </w:rPr>
        <w:t>5.环境影响评价：</w:t>
      </w:r>
      <w:r>
        <w:rPr>
          <w:rFonts w:hint="eastAsia" w:ascii="仿宋_GB2312" w:hAnsi="仿宋_GB2312" w:eastAsia="仿宋_GB2312" w:cs="仿宋_GB2312"/>
          <w:color w:val="auto"/>
          <w:sz w:val="32"/>
          <w:szCs w:val="32"/>
        </w:rPr>
        <w:t>依法开展规划评价，制定</w:t>
      </w:r>
      <w:r>
        <w:rPr>
          <w:rFonts w:hint="eastAsia" w:ascii="仿宋_GB2312" w:hAnsi="仿宋_GB2312" w:eastAsia="仿宋_GB2312" w:cs="仿宋_GB2312"/>
          <w:color w:val="auto"/>
          <w:sz w:val="32"/>
          <w:szCs w:val="32"/>
          <w:lang w:val="en-US" w:eastAsia="zh-CN"/>
        </w:rPr>
        <w:t>评估</w:t>
      </w:r>
      <w:r>
        <w:rPr>
          <w:rFonts w:hint="eastAsia" w:ascii="仿宋_GB2312" w:hAnsi="仿宋_GB2312" w:eastAsia="仿宋_GB2312" w:cs="仿宋_GB2312"/>
          <w:color w:val="auto"/>
          <w:sz w:val="32"/>
          <w:szCs w:val="32"/>
        </w:rPr>
        <w:t>区域总体发展规划，根据规划建立空间开发规划的生态空间清单、限制</w:t>
      </w:r>
      <w:r>
        <w:rPr>
          <w:rFonts w:hint="eastAsia" w:ascii="仿宋_GB2312" w:hAnsi="仿宋_GB2312" w:eastAsia="仿宋_GB2312" w:cs="仿宋_GB2312"/>
          <w:color w:val="auto"/>
          <w:sz w:val="32"/>
          <w:szCs w:val="32"/>
          <w:lang w:val="en-US" w:eastAsia="zh-CN"/>
        </w:rPr>
        <w:t>评估</w:t>
      </w:r>
      <w:r>
        <w:rPr>
          <w:rFonts w:hint="eastAsia" w:ascii="仿宋_GB2312" w:hAnsi="仿宋_GB2312" w:eastAsia="仿宋_GB2312" w:cs="仿宋_GB2312"/>
          <w:color w:val="auto"/>
          <w:sz w:val="32"/>
          <w:szCs w:val="32"/>
        </w:rPr>
        <w:t>区域的用途管制清单、园区污染物排放总量管控限值清单和产业开发规划的产业、工艺环境准入清单，实现清单式管理，简化负面清单外项目的准入政策。开展区域性环境现状评价，对环境问题进行识别和筛选，作出区域环境影响分析，制定环境保护综合对策研究，明确“三线一单”生态环境管控要求。</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b/>
          <w:bCs/>
          <w:color w:val="auto"/>
          <w:sz w:val="32"/>
          <w:szCs w:val="32"/>
          <w:lang w:val="en-US" w:eastAsia="zh-CN"/>
        </w:rPr>
        <w:t>6.建设项目安全评价：</w:t>
      </w:r>
      <w:r>
        <w:rPr>
          <w:rFonts w:hint="eastAsia" w:ascii="仿宋_GB2312" w:hAnsi="仿宋_GB2312" w:eastAsia="仿宋_GB2312" w:cs="仿宋_GB2312"/>
          <w:color w:val="auto"/>
          <w:sz w:val="32"/>
          <w:szCs w:val="32"/>
        </w:rPr>
        <w:t>组织编制评估区域建设项目安全评估报告，对评估区域存在的危险、有害因素经安全评价，确定其危害程度并提出合理的对策措施及建议。</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_GB2312" w:hAnsi="仿宋_GB2312" w:eastAsia="仿宋_GB2312" w:cs="仿宋_GB2312"/>
          <w:color w:val="auto"/>
          <w:kern w:val="2"/>
          <w:sz w:val="32"/>
          <w:szCs w:val="32"/>
          <w:u w:val="none"/>
          <w:lang w:val="en-US" w:eastAsia="zh-CN" w:bidi="ar-SA"/>
        </w:rPr>
      </w:pPr>
      <w:r>
        <w:rPr>
          <w:rFonts w:hint="eastAsia" w:ascii="仿宋_GB2312" w:hAnsi="仿宋_GB2312" w:eastAsia="仿宋_GB2312" w:cs="仿宋_GB2312"/>
          <w:b/>
          <w:bCs/>
          <w:color w:val="auto"/>
          <w:sz w:val="32"/>
          <w:szCs w:val="32"/>
          <w:lang w:val="en-US" w:eastAsia="zh-CN"/>
        </w:rPr>
        <w:t>7.地震安全性评价：</w:t>
      </w:r>
      <w:r>
        <w:rPr>
          <w:rFonts w:hint="eastAsia" w:ascii="仿宋_GB2312" w:hAnsi="仿宋_GB2312" w:eastAsia="仿宋_GB2312" w:cs="仿宋_GB2312"/>
          <w:color w:val="auto"/>
          <w:kern w:val="2"/>
          <w:sz w:val="32"/>
          <w:szCs w:val="32"/>
          <w:u w:val="none"/>
          <w:lang w:val="en-US" w:eastAsia="zh-CN" w:bidi="ar-SA"/>
        </w:rPr>
        <w:t>根据评估区域范围及其邻近的地震构造条件、地震活动性特征、评估目标区场地条件，进行地震危险性分析和场地地震反应分析，编制评估目标区地震安全性评价报告，给出评估目标区场地地震参数图和特征周期图，为评估目标区内除依法依规必须单独开展工程场地地震安全性评价的建设工程以外的新建、改建、扩建建设工程提供抗震设防要求。</w:t>
      </w:r>
    </w:p>
    <w:p>
      <w:pPr>
        <w:pStyle w:val="18"/>
        <w:keepNext w:val="0"/>
        <w:keepLines w:val="0"/>
        <w:widowControl w:val="0"/>
        <w:shd w:val="clear" w:color="auto" w:fill="auto"/>
        <w:bidi w:val="0"/>
        <w:spacing w:before="0" w:after="0" w:line="561" w:lineRule="exact"/>
        <w:ind w:left="0" w:right="0" w:firstLine="680"/>
        <w:jc w:val="both"/>
        <w:rPr>
          <w:rFonts w:hint="eastAsia" w:ascii="仿宋_GB2312" w:hAnsi="仿宋_GB2312" w:eastAsia="仿宋_GB2312" w:cs="仿宋_GB2312"/>
          <w:color w:val="auto"/>
          <w:kern w:val="2"/>
          <w:sz w:val="32"/>
          <w:szCs w:val="32"/>
          <w:u w:val="none"/>
          <w:lang w:val="en-US" w:eastAsia="zh-CN" w:bidi="ar-SA"/>
        </w:rPr>
      </w:pPr>
      <w:r>
        <w:rPr>
          <w:rFonts w:hint="eastAsia" w:ascii="仿宋_GB2312" w:hAnsi="仿宋_GB2312" w:eastAsia="仿宋_GB2312" w:cs="仿宋_GB2312"/>
          <w:b/>
          <w:bCs/>
          <w:color w:val="auto"/>
          <w:kern w:val="2"/>
          <w:sz w:val="32"/>
          <w:szCs w:val="32"/>
          <w:u w:val="none"/>
          <w:lang w:val="en-US" w:eastAsia="zh-CN" w:bidi="ar-SA"/>
        </w:rPr>
        <w:t>8.水</w:t>
      </w:r>
      <w:r>
        <w:rPr>
          <w:rFonts w:hint="eastAsia" w:ascii="仿宋_GB2312" w:hAnsi="仿宋_GB2312" w:eastAsia="仿宋_GB2312" w:cs="仿宋_GB2312"/>
          <w:b/>
          <w:bCs/>
          <w:color w:val="auto"/>
          <w:kern w:val="2"/>
          <w:sz w:val="32"/>
          <w:szCs w:val="32"/>
          <w:u w:val="none"/>
          <w:lang w:val="en-US" w:eastAsia="zh-CN" w:bidi="zh-CN"/>
        </w:rPr>
        <w:t>土保持方案：</w:t>
      </w:r>
      <w:r>
        <w:rPr>
          <w:rFonts w:hint="eastAsia" w:ascii="仿宋_GB2312" w:hAnsi="仿宋_GB2312" w:eastAsia="仿宋_GB2312" w:cs="仿宋_GB2312"/>
          <w:color w:val="auto"/>
          <w:kern w:val="2"/>
          <w:sz w:val="32"/>
          <w:szCs w:val="32"/>
          <w:u w:val="none"/>
          <w:lang w:val="en-US" w:eastAsia="zh-CN" w:bidi="ar-SA"/>
        </w:rPr>
        <w:t>组织编制评估区域水土保持评估方案，对评估区域防治水土流失，保护、改良与合理利用水土资源，改善生态环境提出工程、植物和耕作等技术措施与管理措施。</w:t>
      </w:r>
    </w:p>
    <w:p>
      <w:pPr>
        <w:pStyle w:val="18"/>
        <w:keepNext w:val="0"/>
        <w:keepLines w:val="0"/>
        <w:widowControl w:val="0"/>
        <w:shd w:val="clear" w:color="auto" w:fill="auto"/>
        <w:bidi w:val="0"/>
        <w:spacing w:before="0" w:after="0" w:line="561" w:lineRule="exact"/>
        <w:ind w:left="0" w:right="0" w:firstLine="680"/>
        <w:jc w:val="both"/>
        <w:rPr>
          <w:rFonts w:hint="eastAsia"/>
          <w:color w:val="auto"/>
          <w:lang w:val="en-US" w:eastAsia="zh-CN"/>
        </w:rPr>
      </w:pPr>
      <w:r>
        <w:rPr>
          <w:rFonts w:hint="eastAsia" w:ascii="仿宋_GB2312" w:hAnsi="仿宋_GB2312" w:eastAsia="仿宋_GB2312" w:cs="仿宋_GB2312"/>
          <w:b/>
          <w:bCs/>
          <w:color w:val="auto"/>
          <w:kern w:val="2"/>
          <w:sz w:val="32"/>
          <w:szCs w:val="32"/>
          <w:u w:val="none"/>
          <w:lang w:val="en-US" w:eastAsia="zh-CN" w:bidi="zh-CN"/>
        </w:rPr>
        <w:t>9.考古调查勘探：</w:t>
      </w:r>
      <w:r>
        <w:rPr>
          <w:rFonts w:hint="eastAsia" w:ascii="仿宋_GB2312" w:hAnsi="仿宋_GB2312" w:eastAsia="仿宋_GB2312" w:cs="仿宋_GB2312"/>
          <w:color w:val="auto"/>
          <w:kern w:val="2"/>
          <w:sz w:val="32"/>
          <w:szCs w:val="32"/>
          <w:u w:val="none"/>
          <w:lang w:val="en-US" w:eastAsia="zh-CN" w:bidi="ar-SA"/>
        </w:rPr>
        <w:t>依申请组织开展文物考古调查勘探，编制《文物考古调查勘探报告》，提出文物保护措施与建议；对规划建设用地涉及各级文物保护单位保护范围和建设控制地带、不可移动文物分布范围、历史文化名镇名村和街区的保护范围和建设控制地带的，提出后期建设过程中需履行的文物行政审批事项、程序及保护措施和建议；对新发现的文物遗存，按保护等级和专家意见，分别实施原址保护、迁移保护或抢救性考古发掘与清理等保护措施。</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color w:val="auto"/>
          <w:lang w:eastAsia="zh-CN"/>
        </w:rPr>
      </w:pPr>
      <w:r>
        <w:rPr>
          <w:rFonts w:hint="eastAsia" w:ascii="楷体_GB2312" w:hAnsi="楷体_GB2312" w:eastAsia="楷体_GB2312" w:cs="楷体_GB2312"/>
          <w:i w:val="0"/>
          <w:caps w:val="0"/>
          <w:color w:val="auto"/>
          <w:spacing w:val="0"/>
          <w:kern w:val="0"/>
          <w:sz w:val="32"/>
          <w:szCs w:val="32"/>
          <w:u w:val="none"/>
          <w:lang w:val="en-US" w:eastAsia="zh-CN" w:bidi="ar"/>
        </w:rPr>
        <w:t>（四）实施时限。</w:t>
      </w:r>
      <w:r>
        <w:rPr>
          <w:rFonts w:hint="eastAsia" w:ascii="仿宋_GB2312" w:hAnsi="仿宋_GB2312" w:eastAsia="仿宋_GB2312" w:cs="仿宋_GB2312"/>
          <w:i w:val="0"/>
          <w:caps w:val="0"/>
          <w:color w:val="auto"/>
          <w:spacing w:val="0"/>
          <w:sz w:val="32"/>
          <w:szCs w:val="32"/>
          <w:u w:val="none"/>
          <w:lang w:val="en-US" w:eastAsia="zh-CN"/>
        </w:rPr>
        <w:t>2022年12月底前完成。</w:t>
      </w:r>
    </w:p>
    <w:p>
      <w:pPr>
        <w:keepNext w:val="0"/>
        <w:keepLines w:val="0"/>
        <w:pageBreakBefore w:val="0"/>
        <w:numPr>
          <w:ilvl w:val="0"/>
          <w:numId w:val="1"/>
        </w:numPr>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黑体" w:hAnsi="黑体" w:eastAsia="黑体" w:cs="黑体"/>
          <w:i w:val="0"/>
          <w:caps w:val="0"/>
          <w:color w:val="auto"/>
          <w:spacing w:val="0"/>
          <w:sz w:val="32"/>
          <w:szCs w:val="32"/>
          <w:u w:val="none"/>
          <w:lang w:eastAsia="zh-CN"/>
        </w:rPr>
      </w:pPr>
      <w:r>
        <w:rPr>
          <w:rFonts w:hint="eastAsia" w:ascii="黑体" w:hAnsi="黑体" w:eastAsia="黑体" w:cs="黑体"/>
          <w:i w:val="0"/>
          <w:caps w:val="0"/>
          <w:color w:val="auto"/>
          <w:spacing w:val="0"/>
          <w:sz w:val="32"/>
          <w:szCs w:val="32"/>
          <w:u w:val="none"/>
          <w:lang w:eastAsia="zh-CN"/>
        </w:rPr>
        <w:t>任务分工</w:t>
      </w:r>
    </w:p>
    <w:p>
      <w:pPr>
        <w:keepNext w:val="0"/>
        <w:keepLines w:val="0"/>
        <w:pageBreakBefore w:val="0"/>
        <w:numPr>
          <w:ilvl w:val="0"/>
          <w:numId w:val="2"/>
        </w:numPr>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b/>
          <w:bCs/>
          <w:i w:val="0"/>
          <w:caps w:val="0"/>
          <w:color w:val="auto"/>
          <w:spacing w:val="0"/>
          <w:sz w:val="32"/>
          <w:szCs w:val="32"/>
          <w:u w:val="none"/>
          <w:lang w:val="en-US" w:eastAsia="zh-CN"/>
        </w:rPr>
        <w:t>工程建设项目审批制度改革领导小组</w:t>
      </w:r>
      <w:r>
        <w:rPr>
          <w:rFonts w:hint="eastAsia" w:ascii="仿宋_GB2312" w:hAnsi="仿宋_GB2312" w:eastAsia="仿宋_GB2312" w:cs="仿宋_GB2312"/>
          <w:i w:val="0"/>
          <w:caps w:val="0"/>
          <w:color w:val="auto"/>
          <w:spacing w:val="0"/>
          <w:sz w:val="32"/>
          <w:szCs w:val="32"/>
          <w:u w:val="none"/>
          <w:lang w:val="en-US" w:eastAsia="zh-CN"/>
        </w:rPr>
        <w:t>负责确定开展区域评估的具体区域、范围、时限及实施主体。</w:t>
      </w:r>
    </w:p>
    <w:p>
      <w:pPr>
        <w:keepNext w:val="0"/>
        <w:keepLines w:val="0"/>
        <w:pageBreakBefore w:val="0"/>
        <w:numPr>
          <w:ilvl w:val="0"/>
          <w:numId w:val="2"/>
        </w:numPr>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b/>
          <w:bCs/>
          <w:i w:val="0"/>
          <w:caps w:val="0"/>
          <w:color w:val="auto"/>
          <w:spacing w:val="0"/>
          <w:sz w:val="32"/>
          <w:szCs w:val="32"/>
          <w:u w:val="none"/>
          <w:lang w:val="en-US" w:eastAsia="zh-CN"/>
        </w:rPr>
        <w:t>工程建设项目审批制度改革领导小组办公室</w:t>
      </w:r>
      <w:r>
        <w:rPr>
          <w:rFonts w:hint="eastAsia" w:ascii="仿宋_GB2312" w:hAnsi="仿宋_GB2312" w:eastAsia="仿宋_GB2312" w:cs="仿宋_GB2312"/>
          <w:b/>
          <w:bCs/>
          <w:i w:val="0"/>
          <w:caps w:val="0"/>
          <w:color w:val="000000"/>
          <w:spacing w:val="0"/>
          <w:kern w:val="0"/>
          <w:sz w:val="32"/>
          <w:szCs w:val="32"/>
          <w:u w:val="none"/>
          <w:lang w:val="en-US" w:eastAsia="zh-CN" w:bidi="ar"/>
        </w:rPr>
        <w:t>（以下简称新区</w:t>
      </w:r>
      <w:r>
        <w:rPr>
          <w:rFonts w:hint="eastAsia" w:ascii="仿宋_GB2312" w:hAnsi="仿宋_GB2312" w:eastAsia="仿宋_GB2312" w:cs="仿宋_GB2312"/>
          <w:b/>
          <w:bCs/>
          <w:i w:val="0"/>
          <w:caps w:val="0"/>
          <w:color w:val="000000"/>
          <w:spacing w:val="0"/>
          <w:sz w:val="32"/>
          <w:szCs w:val="32"/>
          <w:u w:val="none"/>
          <w:lang w:val="en-US" w:eastAsia="zh-CN"/>
        </w:rPr>
        <w:t>工改办</w:t>
      </w:r>
      <w:r>
        <w:rPr>
          <w:rFonts w:hint="eastAsia" w:ascii="仿宋_GB2312" w:hAnsi="仿宋_GB2312" w:eastAsia="仿宋_GB2312" w:cs="仿宋_GB2312"/>
          <w:b/>
          <w:bCs/>
          <w:i w:val="0"/>
          <w:caps w:val="0"/>
          <w:color w:val="000000"/>
          <w:spacing w:val="0"/>
          <w:kern w:val="0"/>
          <w:sz w:val="32"/>
          <w:szCs w:val="32"/>
          <w:u w:val="none"/>
          <w:lang w:val="en-US" w:eastAsia="zh-CN" w:bidi="ar"/>
        </w:rPr>
        <w:t>）</w:t>
      </w:r>
      <w:r>
        <w:rPr>
          <w:rFonts w:hint="eastAsia" w:ascii="仿宋_GB2312" w:hAnsi="仿宋_GB2312" w:eastAsia="仿宋_GB2312" w:cs="仿宋_GB2312"/>
          <w:i w:val="0"/>
          <w:caps w:val="0"/>
          <w:color w:val="auto"/>
          <w:spacing w:val="0"/>
          <w:sz w:val="32"/>
          <w:szCs w:val="32"/>
          <w:u w:val="none"/>
          <w:lang w:val="en-US" w:eastAsia="zh-CN"/>
        </w:rPr>
        <w:t>负责区域评估统筹协调工作，协调区域评估成果的公示和宣传工作。</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ascii="仿宋_GB2312" w:hAnsi="仿宋_GB2312" w:eastAsia="仿宋_GB2312" w:cs="仿宋_GB2312"/>
          <w:i w:val="0"/>
          <w:caps w:val="0"/>
          <w:color w:val="000000"/>
          <w:spacing w:val="0"/>
          <w:sz w:val="32"/>
          <w:szCs w:val="32"/>
          <w:lang w:val="en-US" w:eastAsia="zh-CN"/>
        </w:rPr>
      </w:pPr>
      <w:r>
        <w:rPr>
          <w:rFonts w:hint="eastAsia" w:ascii="仿宋_GB2312" w:hAnsi="仿宋_GB2312" w:eastAsia="仿宋_GB2312" w:cs="仿宋_GB2312"/>
          <w:i w:val="0"/>
          <w:caps w:val="0"/>
          <w:color w:val="000000"/>
          <w:spacing w:val="0"/>
          <w:sz w:val="32"/>
          <w:szCs w:val="32"/>
          <w:lang w:val="en-US" w:eastAsia="zh-CN"/>
        </w:rPr>
        <w:t>（三）</w:t>
      </w:r>
      <w:r>
        <w:rPr>
          <w:rFonts w:hint="eastAsia" w:ascii="仿宋_GB2312" w:hAnsi="仿宋_GB2312" w:eastAsia="仿宋_GB2312" w:cs="仿宋_GB2312"/>
          <w:b/>
          <w:bCs/>
          <w:i w:val="0"/>
          <w:caps w:val="0"/>
          <w:color w:val="000000"/>
          <w:spacing w:val="0"/>
          <w:sz w:val="32"/>
          <w:szCs w:val="32"/>
          <w:lang w:val="en-US" w:eastAsia="zh-CN"/>
        </w:rPr>
        <w:t>贵安新区工信局、苏贵产业园区管委会、贵安综保区管委会、贵安产投、贵安产控、贵阳产控</w:t>
      </w:r>
      <w:r>
        <w:rPr>
          <w:rFonts w:hint="eastAsia" w:ascii="仿宋_GB2312" w:hAnsi="仿宋_GB2312" w:eastAsia="仿宋_GB2312" w:cs="仿宋_GB2312"/>
          <w:i w:val="0"/>
          <w:caps w:val="0"/>
          <w:color w:val="000000"/>
          <w:spacing w:val="0"/>
          <w:sz w:val="32"/>
          <w:szCs w:val="32"/>
          <w:lang w:val="en-US" w:eastAsia="zh-CN"/>
        </w:rPr>
        <w:t>负责结合行业主管部门的指导意见、本区域发展规划、实施计划、区域评估事项，可采用自行组织涉及评估事项相关专业人员开展综合评估事宜或委托第三方具有评估相关专业资质的机构牵头组织实施节能评价、压覆重要矿产资评估等9项评估内容报告编制，成果文件报各行业主管部门批复。</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ascii="仿宋_GB2312" w:hAnsi="仿宋_GB2312" w:eastAsia="仿宋_GB2312" w:cs="仿宋_GB2312"/>
          <w:i w:val="0"/>
          <w:caps w:val="0"/>
          <w:color w:val="000000"/>
          <w:spacing w:val="0"/>
          <w:sz w:val="32"/>
          <w:szCs w:val="32"/>
          <w:lang w:val="en-US" w:eastAsia="zh-CN"/>
        </w:rPr>
      </w:pPr>
      <w:r>
        <w:rPr>
          <w:rFonts w:hint="eastAsia" w:ascii="仿宋_GB2312" w:hAnsi="仿宋_GB2312" w:eastAsia="仿宋_GB2312" w:cs="仿宋_GB2312"/>
          <w:i w:val="0"/>
          <w:caps w:val="0"/>
          <w:color w:val="000000"/>
          <w:spacing w:val="0"/>
          <w:sz w:val="32"/>
          <w:szCs w:val="32"/>
          <w:lang w:val="en-US" w:eastAsia="zh-CN"/>
        </w:rPr>
        <w:t>（四）</w:t>
      </w:r>
      <w:r>
        <w:rPr>
          <w:rFonts w:hint="eastAsia" w:ascii="仿宋_GB2312" w:hAnsi="仿宋_GB2312" w:eastAsia="仿宋_GB2312" w:cs="仿宋_GB2312"/>
          <w:b/>
          <w:bCs/>
          <w:i w:val="0"/>
          <w:caps w:val="0"/>
          <w:color w:val="000000"/>
          <w:spacing w:val="0"/>
          <w:sz w:val="32"/>
          <w:szCs w:val="32"/>
          <w:lang w:val="en-US" w:eastAsia="zh-CN"/>
        </w:rPr>
        <w:t>贵安新区经济发展局、自然资源局、城乡建设局、生态环境局、安全生产监督管理局，贵阳市水务管理局、贵阳市应急管理局、贵阳市文化和旅游局</w:t>
      </w:r>
      <w:r>
        <w:rPr>
          <w:rFonts w:hint="eastAsia" w:ascii="仿宋_GB2312" w:hAnsi="仿宋_GB2312" w:eastAsia="仿宋_GB2312" w:cs="仿宋_GB2312"/>
          <w:i w:val="0"/>
          <w:caps w:val="0"/>
          <w:color w:val="000000"/>
          <w:spacing w:val="0"/>
          <w:sz w:val="32"/>
          <w:szCs w:val="32"/>
          <w:lang w:val="en-US" w:eastAsia="zh-CN"/>
        </w:rPr>
        <w:t>负责按职能职责对区域评估成果进行审批并进行成果运用工作。其中，节能评价成果报新区经发局批复；压覆重要矿产资评估、地质灾害危险性评估报新区自然资源局批复；交通影响评价成果报新区城建局批复；环境影响评价成果报新区生态环境局批复；建设项目安全评价成果报贵阳市应急局批复，贵安新区安监局配合指导；地震安全性评价成果报贵州省地震局进行批复，贵阳市应急局配合指导；水土保持方案成果报贵阳市水务局批复；考古调查勘探成果报贵州省文化和旅游厅进行批复，贵阳市文化和旅游局配合指导。</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ascii="仿宋_GB2312" w:hAnsi="仿宋_GB2312" w:eastAsia="仿宋_GB2312" w:cs="仿宋_GB2312"/>
          <w:i w:val="0"/>
          <w:caps w:val="0"/>
          <w:color w:val="000000"/>
          <w:spacing w:val="0"/>
          <w:kern w:val="0"/>
          <w:sz w:val="32"/>
          <w:szCs w:val="32"/>
          <w:u w:val="none"/>
          <w:lang w:val="en-US" w:eastAsia="zh-CN" w:bidi="ar"/>
        </w:rPr>
      </w:pPr>
      <w:r>
        <w:rPr>
          <w:rFonts w:hint="eastAsia" w:ascii="仿宋_GB2312" w:hAnsi="仿宋_GB2312" w:eastAsia="仿宋_GB2312" w:cs="仿宋_GB2312"/>
          <w:i w:val="0"/>
          <w:caps w:val="0"/>
          <w:color w:val="000000"/>
          <w:spacing w:val="0"/>
          <w:sz w:val="32"/>
          <w:szCs w:val="32"/>
          <w:lang w:val="en-US" w:eastAsia="zh-CN"/>
        </w:rPr>
        <w:t>（五）</w:t>
      </w:r>
      <w:r>
        <w:rPr>
          <w:rFonts w:hint="eastAsia" w:ascii="仿宋_GB2312" w:hAnsi="仿宋_GB2312" w:eastAsia="仿宋_GB2312" w:cs="仿宋_GB2312"/>
          <w:b/>
          <w:bCs/>
          <w:i w:val="0"/>
          <w:caps w:val="0"/>
          <w:color w:val="000000"/>
          <w:spacing w:val="0"/>
          <w:sz w:val="32"/>
          <w:szCs w:val="32"/>
          <w:lang w:val="en-US" w:eastAsia="zh-CN"/>
        </w:rPr>
        <w:t>组织编制区域评估报告的单位</w:t>
      </w:r>
      <w:r>
        <w:rPr>
          <w:rFonts w:hint="eastAsia" w:ascii="仿宋_GB2312" w:hAnsi="仿宋_GB2312" w:eastAsia="仿宋_GB2312" w:cs="仿宋_GB2312"/>
          <w:i w:val="0"/>
          <w:caps w:val="0"/>
          <w:color w:val="000000"/>
          <w:spacing w:val="0"/>
          <w:sz w:val="32"/>
          <w:szCs w:val="32"/>
          <w:lang w:val="en-US" w:eastAsia="zh-CN"/>
        </w:rPr>
        <w:t>负责评估成果的共享及归档保存，有矢量数据且需要纳入“多规合一”平</w:t>
      </w:r>
      <w:r>
        <w:rPr>
          <w:rFonts w:hint="eastAsia" w:ascii="仿宋_GB2312" w:hAnsi="仿宋_GB2312" w:eastAsia="仿宋_GB2312" w:cs="仿宋_GB2312"/>
          <w:i w:val="0"/>
          <w:caps w:val="0"/>
          <w:color w:val="000000"/>
          <w:spacing w:val="0"/>
          <w:kern w:val="0"/>
          <w:sz w:val="32"/>
          <w:szCs w:val="32"/>
          <w:u w:val="none"/>
          <w:lang w:val="en-US" w:eastAsia="zh-CN" w:bidi="ar"/>
        </w:rPr>
        <w:t>台的评估成果，由编制区域评估报告的单位将评估成果矢量数据提交城建局，城建局将其纳入“多规合一”平台。若因工作需要对成果进行更新完善的，应及时将更新完善后的成果同时提交新区城建局和各使用职能部门,确保成果利用的时效性。</w:t>
      </w:r>
    </w:p>
    <w:p>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kern w:val="0"/>
          <w:sz w:val="32"/>
          <w:szCs w:val="32"/>
          <w:u w:val="none"/>
          <w:lang w:val="en-US" w:eastAsia="zh-CN" w:bidi="ar"/>
        </w:rPr>
      </w:pPr>
      <w:r>
        <w:rPr>
          <w:rFonts w:hint="eastAsia" w:ascii="仿宋_GB2312" w:hAnsi="仿宋_GB2312" w:eastAsia="仿宋_GB2312" w:cs="仿宋_GB2312"/>
          <w:i w:val="0"/>
          <w:caps w:val="0"/>
          <w:color w:val="auto"/>
          <w:spacing w:val="0"/>
          <w:sz w:val="32"/>
          <w:szCs w:val="32"/>
          <w:u w:val="none"/>
          <w:lang w:val="en-US" w:eastAsia="zh-CN"/>
        </w:rPr>
        <w:t>（四）</w:t>
      </w:r>
      <w:r>
        <w:rPr>
          <w:rFonts w:hint="eastAsia" w:ascii="仿宋_GB2312" w:hAnsi="仿宋_GB2312" w:eastAsia="仿宋_GB2312" w:cs="仿宋_GB2312"/>
          <w:b/>
          <w:bCs/>
          <w:i w:val="0"/>
          <w:caps w:val="0"/>
          <w:color w:val="auto"/>
          <w:spacing w:val="0"/>
          <w:sz w:val="32"/>
          <w:szCs w:val="32"/>
          <w:u w:val="none"/>
          <w:lang w:val="en-US" w:eastAsia="zh-CN"/>
        </w:rPr>
        <w:t>新区财政金融工作局</w:t>
      </w:r>
      <w:r>
        <w:rPr>
          <w:rFonts w:hint="eastAsia" w:ascii="仿宋_GB2312" w:hAnsi="仿宋_GB2312" w:eastAsia="仿宋_GB2312" w:cs="仿宋_GB2312"/>
          <w:i w:val="0"/>
          <w:caps w:val="0"/>
          <w:color w:val="auto"/>
          <w:spacing w:val="0"/>
          <w:sz w:val="32"/>
          <w:szCs w:val="32"/>
          <w:u w:val="none"/>
          <w:lang w:val="en-US" w:eastAsia="zh-CN"/>
        </w:rPr>
        <w:t>负责保障开展区域评估相关工作的资金需求。</w:t>
      </w:r>
    </w:p>
    <w:p>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黑体" w:hAnsi="黑体" w:eastAsia="黑体" w:cs="黑体"/>
          <w:i w:val="0"/>
          <w:caps w:val="0"/>
          <w:color w:val="auto"/>
          <w:spacing w:val="0"/>
          <w:sz w:val="32"/>
          <w:szCs w:val="32"/>
          <w:u w:val="none"/>
          <w:lang w:val="en-US" w:eastAsia="zh-CN"/>
        </w:rPr>
      </w:pPr>
      <w:r>
        <w:rPr>
          <w:rFonts w:hint="eastAsia" w:ascii="黑体" w:hAnsi="黑体" w:eastAsia="黑体" w:cs="黑体"/>
          <w:i w:val="0"/>
          <w:caps w:val="0"/>
          <w:color w:val="auto"/>
          <w:spacing w:val="0"/>
          <w:sz w:val="32"/>
          <w:szCs w:val="32"/>
          <w:u w:val="none"/>
          <w:lang w:val="en-US" w:eastAsia="zh-CN"/>
        </w:rPr>
        <w:t>四、成果运用</w:t>
      </w:r>
    </w:p>
    <w:p>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40" w:firstLineChars="200"/>
        <w:jc w:val="both"/>
        <w:textAlignment w:val="auto"/>
        <w:rPr>
          <w:rFonts w:hint="default"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t>（一）直接引用。压覆重要矿产资评估、地质灾害危险性评估、交通影响评价、节能评价、地震安全性评价、水土保持方案、考古调查勘探等评估结果建设单位在项目申报审批过程中可不再提供相关材料，直接引用区域评估成果。</w:t>
      </w:r>
    </w:p>
    <w:p>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40" w:firstLineChars="200"/>
        <w:jc w:val="both"/>
        <w:textAlignment w:val="auto"/>
        <w:rPr>
          <w:rFonts w:hint="default"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t>（二）减少审批。涉及环境影响评价、建设项目安全评价等评估，建设单位可根据经批准的评估成果，编制评估报告，相关部门应减少对应审批事项审批材料及审批时限，提高审批效率。</w:t>
      </w:r>
    </w:p>
    <w:p>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黑体" w:hAnsi="黑体" w:eastAsia="黑体" w:cs="黑体"/>
          <w:i w:val="0"/>
          <w:caps w:val="0"/>
          <w:color w:val="auto"/>
          <w:spacing w:val="0"/>
          <w:sz w:val="32"/>
          <w:szCs w:val="32"/>
          <w:u w:val="none"/>
          <w:lang w:eastAsia="zh-CN"/>
        </w:rPr>
      </w:pPr>
      <w:r>
        <w:rPr>
          <w:rFonts w:hint="eastAsia" w:ascii="黑体" w:hAnsi="黑体" w:eastAsia="黑体" w:cs="黑体"/>
          <w:i w:val="0"/>
          <w:caps w:val="0"/>
          <w:color w:val="auto"/>
          <w:spacing w:val="0"/>
          <w:sz w:val="32"/>
          <w:szCs w:val="32"/>
          <w:u w:val="none"/>
          <w:lang w:val="en-US" w:eastAsia="zh-CN"/>
        </w:rPr>
        <w:t>五、</w:t>
      </w:r>
      <w:r>
        <w:rPr>
          <w:rFonts w:hint="eastAsia" w:ascii="黑体" w:hAnsi="黑体" w:eastAsia="黑体" w:cs="黑体"/>
          <w:i w:val="0"/>
          <w:caps w:val="0"/>
          <w:color w:val="auto"/>
          <w:spacing w:val="0"/>
          <w:sz w:val="32"/>
          <w:szCs w:val="32"/>
          <w:u w:val="none"/>
          <w:lang w:eastAsia="zh-CN"/>
        </w:rPr>
        <w:t>保障措施</w:t>
      </w: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rPr>
      </w:pPr>
      <w:r>
        <w:rPr>
          <w:rFonts w:hint="eastAsia" w:ascii="楷体_GB2312" w:hAnsi="楷体_GB2312" w:eastAsia="楷体_GB2312" w:cs="楷体_GB2312"/>
          <w:i w:val="0"/>
          <w:caps w:val="0"/>
          <w:color w:val="auto"/>
          <w:spacing w:val="0"/>
          <w:sz w:val="32"/>
          <w:szCs w:val="32"/>
          <w:u w:val="none"/>
          <w:lang w:eastAsia="zh-CN"/>
        </w:rPr>
        <w:t>（</w:t>
      </w:r>
      <w:r>
        <w:rPr>
          <w:rFonts w:hint="eastAsia" w:ascii="楷体_GB2312" w:hAnsi="楷体_GB2312" w:eastAsia="楷体_GB2312" w:cs="楷体_GB2312"/>
          <w:i w:val="0"/>
          <w:caps w:val="0"/>
          <w:color w:val="auto"/>
          <w:spacing w:val="0"/>
          <w:sz w:val="32"/>
          <w:szCs w:val="32"/>
          <w:u w:val="none"/>
          <w:lang w:val="en-US" w:eastAsia="zh-CN"/>
        </w:rPr>
        <w:t>一</w:t>
      </w:r>
      <w:r>
        <w:rPr>
          <w:rFonts w:hint="eastAsia" w:ascii="楷体_GB2312" w:hAnsi="楷体_GB2312" w:eastAsia="楷体_GB2312" w:cs="楷体_GB2312"/>
          <w:i w:val="0"/>
          <w:caps w:val="0"/>
          <w:color w:val="auto"/>
          <w:spacing w:val="0"/>
          <w:sz w:val="32"/>
          <w:szCs w:val="32"/>
          <w:u w:val="none"/>
          <w:lang w:eastAsia="zh-CN"/>
        </w:rPr>
        <w:t>）</w:t>
      </w:r>
      <w:r>
        <w:rPr>
          <w:rFonts w:hint="eastAsia" w:ascii="楷体_GB2312" w:hAnsi="楷体_GB2312" w:eastAsia="楷体_GB2312" w:cs="楷体_GB2312"/>
          <w:i w:val="0"/>
          <w:caps w:val="0"/>
          <w:color w:val="auto"/>
          <w:spacing w:val="0"/>
          <w:sz w:val="32"/>
          <w:szCs w:val="32"/>
          <w:u w:val="none"/>
        </w:rPr>
        <w:t>建立协作机制</w:t>
      </w: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lang w:eastAsia="zh-CN"/>
        </w:rPr>
      </w:pPr>
      <w:r>
        <w:rPr>
          <w:rFonts w:hint="eastAsia" w:ascii="仿宋_GB2312" w:hAnsi="仿宋_GB2312" w:eastAsia="仿宋_GB2312" w:cs="仿宋_GB2312"/>
          <w:i w:val="0"/>
          <w:caps w:val="0"/>
          <w:color w:val="auto"/>
          <w:spacing w:val="0"/>
          <w:kern w:val="0"/>
          <w:sz w:val="32"/>
          <w:szCs w:val="32"/>
          <w:u w:val="none"/>
          <w:lang w:val="en-US" w:eastAsia="zh-CN" w:bidi="ar"/>
        </w:rPr>
        <w:t>各</w:t>
      </w:r>
      <w:r>
        <w:rPr>
          <w:rFonts w:hint="eastAsia" w:ascii="仿宋_GB2312" w:hAnsi="仿宋_GB2312" w:eastAsia="仿宋_GB2312" w:cs="仿宋_GB2312"/>
          <w:i w:val="0"/>
          <w:caps w:val="0"/>
          <w:color w:val="auto"/>
          <w:spacing w:val="0"/>
          <w:sz w:val="32"/>
          <w:szCs w:val="32"/>
          <w:u w:val="none"/>
          <w:lang w:val="en-US" w:eastAsia="zh-CN"/>
        </w:rPr>
        <w:t>实施部门</w:t>
      </w:r>
      <w:r>
        <w:rPr>
          <w:rFonts w:hint="eastAsia" w:ascii="仿宋_GB2312" w:hAnsi="仿宋_GB2312" w:eastAsia="仿宋_GB2312" w:cs="仿宋_GB2312"/>
          <w:i w:val="0"/>
          <w:caps w:val="0"/>
          <w:color w:val="auto"/>
          <w:spacing w:val="0"/>
          <w:sz w:val="32"/>
          <w:szCs w:val="32"/>
          <w:u w:val="none"/>
        </w:rPr>
        <w:t>应明确一名领导总协调，确定一个内设部门和专门人员负责此项工作。各</w:t>
      </w:r>
      <w:r>
        <w:rPr>
          <w:rFonts w:hint="eastAsia" w:ascii="仿宋_GB2312" w:hAnsi="仿宋_GB2312" w:eastAsia="仿宋_GB2312" w:cs="仿宋_GB2312"/>
          <w:i w:val="0"/>
          <w:caps w:val="0"/>
          <w:color w:val="auto"/>
          <w:spacing w:val="0"/>
          <w:sz w:val="32"/>
          <w:szCs w:val="32"/>
          <w:u w:val="none"/>
          <w:lang w:eastAsia="zh-CN"/>
        </w:rPr>
        <w:t>行业主管部门</w:t>
      </w:r>
      <w:r>
        <w:rPr>
          <w:rFonts w:hint="eastAsia" w:ascii="仿宋_GB2312" w:hAnsi="仿宋_GB2312" w:eastAsia="仿宋_GB2312" w:cs="仿宋_GB2312"/>
          <w:i w:val="0"/>
          <w:caps w:val="0"/>
          <w:color w:val="auto"/>
          <w:spacing w:val="0"/>
          <w:sz w:val="32"/>
          <w:szCs w:val="32"/>
          <w:u w:val="none"/>
        </w:rPr>
        <w:t>应主动作为、密切配合、加强指导，全力协助开展</w:t>
      </w:r>
      <w:r>
        <w:rPr>
          <w:rFonts w:hint="eastAsia" w:ascii="仿宋_GB2312" w:hAnsi="仿宋_GB2312" w:eastAsia="仿宋_GB2312" w:cs="仿宋_GB2312"/>
          <w:i w:val="0"/>
          <w:caps w:val="0"/>
          <w:color w:val="auto"/>
          <w:spacing w:val="0"/>
          <w:sz w:val="32"/>
          <w:szCs w:val="32"/>
          <w:u w:val="none"/>
          <w:lang w:eastAsia="zh-CN"/>
        </w:rPr>
        <w:t>各项</w:t>
      </w:r>
      <w:r>
        <w:rPr>
          <w:rFonts w:hint="eastAsia" w:ascii="仿宋_GB2312" w:hAnsi="仿宋_GB2312" w:eastAsia="仿宋_GB2312" w:cs="仿宋_GB2312"/>
          <w:i w:val="0"/>
          <w:caps w:val="0"/>
          <w:color w:val="auto"/>
          <w:spacing w:val="0"/>
          <w:sz w:val="32"/>
          <w:szCs w:val="32"/>
          <w:u w:val="none"/>
        </w:rPr>
        <w:t>工作</w:t>
      </w:r>
      <w:r>
        <w:rPr>
          <w:rFonts w:hint="eastAsia" w:ascii="仿宋_GB2312" w:hAnsi="仿宋_GB2312" w:eastAsia="仿宋_GB2312" w:cs="仿宋_GB2312"/>
          <w:i w:val="0"/>
          <w:caps w:val="0"/>
          <w:color w:val="auto"/>
          <w:spacing w:val="0"/>
          <w:sz w:val="32"/>
          <w:szCs w:val="32"/>
          <w:u w:val="none"/>
          <w:lang w:eastAsia="zh-CN"/>
        </w:rPr>
        <w:t>。</w:t>
      </w: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楷体_GB2312" w:hAnsi="楷体_GB2312" w:eastAsia="楷体_GB2312" w:cs="楷体_GB2312"/>
          <w:i w:val="0"/>
          <w:caps w:val="0"/>
          <w:color w:val="auto"/>
          <w:spacing w:val="0"/>
          <w:sz w:val="32"/>
          <w:szCs w:val="32"/>
          <w:u w:val="none"/>
          <w:lang w:eastAsia="zh-CN"/>
        </w:rPr>
      </w:pPr>
      <w:r>
        <w:rPr>
          <w:rFonts w:hint="eastAsia" w:ascii="楷体_GB2312" w:hAnsi="楷体_GB2312" w:eastAsia="楷体_GB2312" w:cs="楷体_GB2312"/>
          <w:i w:val="0"/>
          <w:caps w:val="0"/>
          <w:color w:val="auto"/>
          <w:spacing w:val="0"/>
          <w:sz w:val="32"/>
          <w:szCs w:val="32"/>
          <w:u w:val="none"/>
          <w:lang w:eastAsia="zh-CN"/>
        </w:rPr>
        <w:t>（二）建立协调机制</w:t>
      </w: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rPr>
      </w:pPr>
      <w:r>
        <w:rPr>
          <w:rFonts w:hint="eastAsia" w:ascii="仿宋_GB2312" w:hAnsi="仿宋_GB2312" w:eastAsia="仿宋_GB2312" w:cs="仿宋_GB2312"/>
          <w:i w:val="0"/>
          <w:caps w:val="0"/>
          <w:color w:val="auto"/>
          <w:spacing w:val="0"/>
          <w:kern w:val="0"/>
          <w:sz w:val="32"/>
          <w:szCs w:val="32"/>
          <w:u w:val="none"/>
          <w:lang w:val="en-US" w:eastAsia="zh-CN" w:bidi="ar"/>
        </w:rPr>
        <w:t>各</w:t>
      </w:r>
      <w:r>
        <w:rPr>
          <w:rFonts w:hint="eastAsia" w:ascii="仿宋_GB2312" w:hAnsi="仿宋_GB2312" w:eastAsia="仿宋_GB2312" w:cs="仿宋_GB2312"/>
          <w:i w:val="0"/>
          <w:caps w:val="0"/>
          <w:color w:val="auto"/>
          <w:spacing w:val="0"/>
          <w:sz w:val="32"/>
          <w:szCs w:val="32"/>
          <w:u w:val="none"/>
          <w:lang w:val="en-US" w:eastAsia="zh-CN"/>
        </w:rPr>
        <w:t>实施部门</w:t>
      </w:r>
      <w:r>
        <w:rPr>
          <w:rFonts w:hint="eastAsia" w:ascii="仿宋_GB2312" w:hAnsi="仿宋_GB2312" w:eastAsia="仿宋_GB2312" w:cs="仿宋_GB2312"/>
          <w:i w:val="0"/>
          <w:caps w:val="0"/>
          <w:color w:val="auto"/>
          <w:spacing w:val="0"/>
          <w:sz w:val="32"/>
          <w:szCs w:val="32"/>
          <w:u w:val="none"/>
        </w:rPr>
        <w:t>应建立工作协调机制，牵头会同各</w:t>
      </w:r>
      <w:r>
        <w:rPr>
          <w:rFonts w:hint="eastAsia" w:ascii="仿宋_GB2312" w:hAnsi="仿宋_GB2312" w:eastAsia="仿宋_GB2312" w:cs="仿宋_GB2312"/>
          <w:i w:val="0"/>
          <w:caps w:val="0"/>
          <w:color w:val="auto"/>
          <w:spacing w:val="0"/>
          <w:sz w:val="32"/>
          <w:szCs w:val="32"/>
          <w:u w:val="none"/>
          <w:lang w:eastAsia="zh-CN"/>
        </w:rPr>
        <w:t>行业主管部门</w:t>
      </w:r>
      <w:r>
        <w:rPr>
          <w:rFonts w:hint="eastAsia" w:ascii="仿宋_GB2312" w:hAnsi="仿宋_GB2312" w:eastAsia="仿宋_GB2312" w:cs="仿宋_GB2312"/>
          <w:i w:val="0"/>
          <w:caps w:val="0"/>
          <w:color w:val="auto"/>
          <w:spacing w:val="0"/>
          <w:sz w:val="32"/>
          <w:szCs w:val="32"/>
          <w:u w:val="none"/>
        </w:rPr>
        <w:t>及时协调解决工作开展中遇到的问题</w:t>
      </w:r>
      <w:r>
        <w:rPr>
          <w:rFonts w:hint="eastAsia" w:ascii="仿宋_GB2312" w:hAnsi="仿宋_GB2312" w:eastAsia="仿宋_GB2312" w:cs="仿宋_GB2312"/>
          <w:i w:val="0"/>
          <w:caps w:val="0"/>
          <w:color w:val="auto"/>
          <w:spacing w:val="0"/>
          <w:sz w:val="32"/>
          <w:szCs w:val="32"/>
          <w:u w:val="none"/>
          <w:lang w:eastAsia="zh-CN"/>
        </w:rPr>
        <w:t>且</w:t>
      </w:r>
      <w:r>
        <w:rPr>
          <w:rFonts w:hint="eastAsia" w:ascii="仿宋_GB2312" w:hAnsi="仿宋_GB2312" w:eastAsia="仿宋_GB2312" w:cs="仿宋_GB2312"/>
          <w:i w:val="0"/>
          <w:caps w:val="0"/>
          <w:color w:val="auto"/>
          <w:spacing w:val="0"/>
          <w:sz w:val="32"/>
          <w:szCs w:val="32"/>
          <w:u w:val="none"/>
        </w:rPr>
        <w:t>无法解决的，提请</w:t>
      </w:r>
      <w:r>
        <w:rPr>
          <w:rFonts w:hint="eastAsia" w:ascii="仿宋_GB2312" w:hAnsi="仿宋_GB2312" w:eastAsia="仿宋_GB2312" w:cs="仿宋_GB2312"/>
          <w:i w:val="0"/>
          <w:caps w:val="0"/>
          <w:color w:val="auto"/>
          <w:spacing w:val="0"/>
          <w:sz w:val="32"/>
          <w:szCs w:val="32"/>
          <w:u w:val="none"/>
          <w:lang w:eastAsia="zh-CN"/>
        </w:rPr>
        <w:t>新区工改办</w:t>
      </w:r>
      <w:r>
        <w:rPr>
          <w:rFonts w:hint="eastAsia" w:ascii="仿宋_GB2312" w:hAnsi="仿宋_GB2312" w:eastAsia="仿宋_GB2312" w:cs="仿宋_GB2312"/>
          <w:i w:val="0"/>
          <w:caps w:val="0"/>
          <w:color w:val="auto"/>
          <w:spacing w:val="0"/>
          <w:sz w:val="32"/>
          <w:szCs w:val="32"/>
          <w:u w:val="none"/>
        </w:rPr>
        <w:t>协调解决。</w:t>
      </w: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楷体_GB2312" w:hAnsi="楷体_GB2312" w:eastAsia="楷体_GB2312" w:cs="楷体_GB2312"/>
          <w:i w:val="0"/>
          <w:caps w:val="0"/>
          <w:color w:val="auto"/>
          <w:spacing w:val="0"/>
          <w:sz w:val="32"/>
          <w:szCs w:val="32"/>
          <w:u w:val="none"/>
          <w:lang w:eastAsia="zh-CN"/>
        </w:rPr>
      </w:pPr>
      <w:r>
        <w:rPr>
          <w:rFonts w:hint="eastAsia" w:ascii="楷体_GB2312" w:hAnsi="楷体_GB2312" w:eastAsia="楷体_GB2312" w:cs="楷体_GB2312"/>
          <w:i w:val="0"/>
          <w:caps w:val="0"/>
          <w:color w:val="auto"/>
          <w:spacing w:val="0"/>
          <w:sz w:val="32"/>
          <w:szCs w:val="32"/>
          <w:u w:val="none"/>
          <w:lang w:eastAsia="zh-CN"/>
        </w:rPr>
        <w:t>（三）加强工作保障</w:t>
      </w: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lang w:eastAsia="zh-CN"/>
        </w:rPr>
      </w:pPr>
      <w:r>
        <w:rPr>
          <w:rFonts w:hint="eastAsia" w:ascii="仿宋_GB2312" w:hAnsi="仿宋_GB2312" w:eastAsia="仿宋_GB2312" w:cs="仿宋_GB2312"/>
          <w:i w:val="0"/>
          <w:caps w:val="0"/>
          <w:color w:val="auto"/>
          <w:spacing w:val="0"/>
          <w:sz w:val="32"/>
          <w:szCs w:val="32"/>
          <w:u w:val="none"/>
        </w:rPr>
        <w:t>区域</w:t>
      </w:r>
      <w:r>
        <w:rPr>
          <w:rFonts w:hint="eastAsia" w:ascii="仿宋_GB2312" w:hAnsi="仿宋_GB2312" w:eastAsia="仿宋_GB2312" w:cs="仿宋_GB2312"/>
          <w:i w:val="0"/>
          <w:caps w:val="0"/>
          <w:color w:val="auto"/>
          <w:spacing w:val="0"/>
          <w:sz w:val="32"/>
          <w:szCs w:val="32"/>
          <w:u w:val="none"/>
          <w:lang w:val="en-US" w:eastAsia="zh-CN"/>
        </w:rPr>
        <w:t>综合</w:t>
      </w:r>
      <w:r>
        <w:rPr>
          <w:rFonts w:hint="eastAsia" w:ascii="仿宋_GB2312" w:hAnsi="仿宋_GB2312" w:eastAsia="仿宋_GB2312" w:cs="仿宋_GB2312"/>
          <w:i w:val="0"/>
          <w:caps w:val="0"/>
          <w:color w:val="auto"/>
          <w:spacing w:val="0"/>
          <w:sz w:val="32"/>
          <w:szCs w:val="32"/>
          <w:u w:val="none"/>
        </w:rPr>
        <w:t>评估评审工作所需经费纳入</w:t>
      </w:r>
      <w:r>
        <w:rPr>
          <w:rFonts w:hint="eastAsia" w:ascii="仿宋_GB2312" w:hAnsi="仿宋_GB2312" w:eastAsia="仿宋_GB2312" w:cs="仿宋_GB2312"/>
          <w:i w:val="0"/>
          <w:caps w:val="0"/>
          <w:color w:val="auto"/>
          <w:spacing w:val="0"/>
          <w:sz w:val="32"/>
          <w:szCs w:val="32"/>
          <w:u w:val="none"/>
          <w:lang w:eastAsia="zh-CN"/>
        </w:rPr>
        <w:t>新区财政预算</w:t>
      </w:r>
      <w:r>
        <w:rPr>
          <w:rFonts w:hint="eastAsia" w:ascii="仿宋_GB2312" w:hAnsi="仿宋_GB2312" w:eastAsia="仿宋_GB2312" w:cs="仿宋_GB2312"/>
          <w:i w:val="0"/>
          <w:caps w:val="0"/>
          <w:color w:val="auto"/>
          <w:spacing w:val="0"/>
          <w:sz w:val="32"/>
          <w:szCs w:val="32"/>
          <w:u w:val="none"/>
        </w:rPr>
        <w:t>予以专项核定保障</w:t>
      </w:r>
      <w:r>
        <w:rPr>
          <w:rFonts w:hint="eastAsia" w:ascii="仿宋_GB2312" w:hAnsi="仿宋_GB2312" w:eastAsia="仿宋_GB2312" w:cs="仿宋_GB2312"/>
          <w:i w:val="0"/>
          <w:caps w:val="0"/>
          <w:color w:val="auto"/>
          <w:spacing w:val="0"/>
          <w:sz w:val="32"/>
          <w:szCs w:val="32"/>
          <w:u w:val="none"/>
          <w:lang w:eastAsia="zh-CN"/>
        </w:rPr>
        <w:t>。</w:t>
      </w:r>
      <w:r>
        <w:rPr>
          <w:rFonts w:hint="eastAsia" w:ascii="仿宋_GB2312" w:hAnsi="仿宋_GB2312" w:eastAsia="仿宋_GB2312" w:cs="仿宋_GB2312"/>
          <w:i w:val="0"/>
          <w:caps w:val="0"/>
          <w:color w:val="auto"/>
          <w:spacing w:val="0"/>
          <w:sz w:val="32"/>
          <w:szCs w:val="32"/>
          <w:u w:val="none"/>
        </w:rPr>
        <w:t>实施区域评估评审工作涉及突破相关法规、政府规章和规范性文件的，应及时负责提请</w:t>
      </w:r>
      <w:r>
        <w:rPr>
          <w:rFonts w:hint="eastAsia" w:ascii="仿宋_GB2312" w:hAnsi="仿宋_GB2312" w:eastAsia="仿宋_GB2312" w:cs="仿宋_GB2312"/>
          <w:i w:val="0"/>
          <w:caps w:val="0"/>
          <w:color w:val="auto"/>
          <w:spacing w:val="0"/>
          <w:sz w:val="32"/>
          <w:szCs w:val="32"/>
          <w:u w:val="none"/>
          <w:lang w:val="en-US" w:eastAsia="zh-CN"/>
        </w:rPr>
        <w:t>新区管委会</w:t>
      </w:r>
      <w:r>
        <w:rPr>
          <w:rFonts w:hint="eastAsia" w:ascii="仿宋_GB2312" w:hAnsi="仿宋_GB2312" w:eastAsia="仿宋_GB2312" w:cs="仿宋_GB2312"/>
          <w:i w:val="0"/>
          <w:caps w:val="0"/>
          <w:color w:val="auto"/>
          <w:spacing w:val="0"/>
          <w:sz w:val="32"/>
          <w:szCs w:val="32"/>
          <w:u w:val="none"/>
        </w:rPr>
        <w:t>调整和清理工作</w:t>
      </w:r>
      <w:r>
        <w:rPr>
          <w:rFonts w:hint="eastAsia" w:ascii="仿宋_GB2312" w:hAnsi="仿宋_GB2312" w:eastAsia="仿宋_GB2312" w:cs="仿宋_GB2312"/>
          <w:i w:val="0"/>
          <w:caps w:val="0"/>
          <w:color w:val="auto"/>
          <w:spacing w:val="0"/>
          <w:sz w:val="32"/>
          <w:szCs w:val="32"/>
          <w:u w:val="none"/>
          <w:lang w:eastAsia="zh-CN"/>
        </w:rPr>
        <w:t>。</w:t>
      </w: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楷体_GB2312" w:hAnsi="楷体_GB2312" w:eastAsia="楷体_GB2312" w:cs="楷体_GB2312"/>
          <w:i w:val="0"/>
          <w:caps w:val="0"/>
          <w:color w:val="auto"/>
          <w:spacing w:val="0"/>
          <w:sz w:val="32"/>
          <w:szCs w:val="32"/>
          <w:u w:val="none"/>
          <w:lang w:val="en-US" w:eastAsia="zh-CN"/>
        </w:rPr>
      </w:pPr>
      <w:r>
        <w:rPr>
          <w:rFonts w:hint="eastAsia" w:ascii="楷体_GB2312" w:hAnsi="楷体_GB2312" w:eastAsia="楷体_GB2312" w:cs="楷体_GB2312"/>
          <w:i w:val="0"/>
          <w:caps w:val="0"/>
          <w:color w:val="auto"/>
          <w:spacing w:val="0"/>
          <w:sz w:val="32"/>
          <w:szCs w:val="32"/>
          <w:u w:val="none"/>
          <w:lang w:val="en-US" w:eastAsia="zh-CN"/>
        </w:rPr>
        <w:t>（四）加强信息沟通</w:t>
      </w:r>
      <w:bookmarkStart w:id="0" w:name="_GoBack"/>
      <w:bookmarkEnd w:id="0"/>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rPr>
      </w:pPr>
      <w:r>
        <w:rPr>
          <w:rFonts w:hint="eastAsia" w:ascii="仿宋_GB2312" w:hAnsi="仿宋_GB2312" w:eastAsia="仿宋_GB2312" w:cs="仿宋_GB2312"/>
          <w:i w:val="0"/>
          <w:caps w:val="0"/>
          <w:color w:val="auto"/>
          <w:spacing w:val="0"/>
          <w:sz w:val="32"/>
          <w:szCs w:val="32"/>
          <w:u w:val="none"/>
          <w:lang w:val="en-US" w:eastAsia="zh-CN"/>
        </w:rPr>
        <w:t>各实施部门应加强日常信息沟通，并于本方案印发实施后每月25日</w:t>
      </w:r>
      <w:r>
        <w:rPr>
          <w:rFonts w:hint="eastAsia" w:ascii="仿宋_GB2312" w:hAnsi="仿宋_GB2312" w:eastAsia="仿宋_GB2312" w:cs="仿宋_GB2312"/>
          <w:i w:val="0"/>
          <w:caps w:val="0"/>
          <w:color w:val="auto"/>
          <w:spacing w:val="0"/>
          <w:sz w:val="32"/>
          <w:szCs w:val="32"/>
          <w:u w:val="none"/>
        </w:rPr>
        <w:t>报送</w:t>
      </w:r>
      <w:r>
        <w:rPr>
          <w:rFonts w:hint="eastAsia" w:ascii="仿宋_GB2312" w:hAnsi="仿宋_GB2312" w:eastAsia="仿宋_GB2312" w:cs="仿宋_GB2312"/>
          <w:i w:val="0"/>
          <w:caps w:val="0"/>
          <w:color w:val="auto"/>
          <w:spacing w:val="0"/>
          <w:sz w:val="32"/>
          <w:szCs w:val="32"/>
          <w:u w:val="none"/>
          <w:lang w:val="en-US" w:eastAsia="zh-CN"/>
        </w:rPr>
        <w:t>新区工改办</w:t>
      </w:r>
      <w:r>
        <w:rPr>
          <w:rFonts w:hint="eastAsia" w:ascii="仿宋_GB2312" w:hAnsi="仿宋_GB2312" w:eastAsia="仿宋_GB2312" w:cs="仿宋_GB2312"/>
          <w:i w:val="0"/>
          <w:caps w:val="0"/>
          <w:color w:val="auto"/>
          <w:spacing w:val="0"/>
          <w:sz w:val="32"/>
          <w:szCs w:val="32"/>
          <w:u w:val="none"/>
        </w:rPr>
        <w:t>工作进展情况</w:t>
      </w:r>
      <w:r>
        <w:rPr>
          <w:rFonts w:hint="eastAsia" w:ascii="仿宋_GB2312" w:hAnsi="仿宋_GB2312" w:eastAsia="仿宋_GB2312" w:cs="仿宋_GB2312"/>
          <w:i w:val="0"/>
          <w:caps w:val="0"/>
          <w:color w:val="auto"/>
          <w:spacing w:val="0"/>
          <w:sz w:val="32"/>
          <w:szCs w:val="32"/>
          <w:u w:val="none"/>
          <w:lang w:eastAsia="zh-CN"/>
        </w:rPr>
        <w:t>，</w:t>
      </w:r>
      <w:r>
        <w:rPr>
          <w:rFonts w:hint="eastAsia" w:ascii="仿宋_GB2312" w:hAnsi="仿宋_GB2312" w:eastAsia="仿宋_GB2312" w:cs="仿宋_GB2312"/>
          <w:i w:val="0"/>
          <w:caps w:val="0"/>
          <w:color w:val="auto"/>
          <w:spacing w:val="0"/>
          <w:sz w:val="32"/>
          <w:szCs w:val="32"/>
          <w:u w:val="none"/>
          <w:lang w:val="en-US" w:eastAsia="zh-CN"/>
        </w:rPr>
        <w:t>新区工改办汇总后定期报管委会</w:t>
      </w:r>
      <w:r>
        <w:rPr>
          <w:rFonts w:hint="eastAsia" w:ascii="仿宋_GB2312" w:hAnsi="仿宋_GB2312" w:eastAsia="仿宋_GB2312" w:cs="仿宋_GB2312"/>
          <w:i w:val="0"/>
          <w:caps w:val="0"/>
          <w:color w:val="auto"/>
          <w:spacing w:val="0"/>
          <w:sz w:val="32"/>
          <w:szCs w:val="32"/>
          <w:u w:val="none"/>
        </w:rPr>
        <w:t>。</w:t>
      </w: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sectPr>
          <w:footerReference r:id="rId3" w:type="default"/>
          <w:pgSz w:w="11906" w:h="16838"/>
          <w:pgMar w:top="2098" w:right="1474" w:bottom="1701" w:left="1587" w:header="851" w:footer="992" w:gutter="0"/>
          <w:pgBorders>
            <w:top w:val="none" w:sz="0" w:space="0"/>
            <w:left w:val="none" w:sz="0" w:space="0"/>
            <w:bottom w:val="none" w:sz="0" w:space="0"/>
            <w:right w:val="none" w:sz="0" w:space="0"/>
          </w:pgBorders>
          <w:pgNumType w:fmt="numberInDash"/>
          <w:cols w:space="0" w:num="1"/>
          <w:rtlGutter w:val="0"/>
          <w:docGrid w:type="lines" w:linePitch="312" w:charSpace="0"/>
        </w:sectPr>
      </w:pPr>
    </w:p>
    <w:p>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line="240" w:lineRule="auto"/>
        <w:ind w:left="0" w:leftChars="0" w:firstLine="640" w:firstLineChars="200"/>
        <w:jc w:val="both"/>
        <w:textAlignment w:val="auto"/>
        <w:rPr>
          <w:rFonts w:hint="eastAsia" w:ascii="仿宋_GB2312" w:hAnsi="仿宋_GB2312" w:eastAsia="仿宋_GB2312" w:cs="仿宋_GB2312"/>
          <w:i w:val="0"/>
          <w:caps w:val="0"/>
          <w:color w:val="auto"/>
          <w:spacing w:val="0"/>
          <w:sz w:val="32"/>
          <w:szCs w:val="32"/>
          <w:u w:val="none"/>
          <w:lang w:val="en-US" w:eastAsia="zh-CN"/>
        </w:rPr>
      </w:pPr>
      <w:r>
        <w:rPr>
          <w:rFonts w:hint="eastAsia" w:ascii="仿宋_GB2312" w:hAnsi="仿宋_GB2312" w:eastAsia="仿宋_GB2312" w:cs="仿宋_GB2312"/>
          <w:i w:val="0"/>
          <w:caps w:val="0"/>
          <w:color w:val="auto"/>
          <w:spacing w:val="0"/>
          <w:sz w:val="32"/>
          <w:szCs w:val="32"/>
          <w:u w:val="none"/>
          <w:lang w:val="en-US" w:eastAsia="zh-CN"/>
        </w:rPr>
        <w:drawing>
          <wp:anchor distT="0" distB="0" distL="114300" distR="114300" simplePos="0" relativeHeight="251658240" behindDoc="0" locked="0" layoutInCell="1" allowOverlap="1">
            <wp:simplePos x="0" y="0"/>
            <wp:positionH relativeFrom="column">
              <wp:posOffset>-506095</wp:posOffset>
            </wp:positionH>
            <wp:positionV relativeFrom="paragraph">
              <wp:posOffset>-741045</wp:posOffset>
            </wp:positionV>
            <wp:extent cx="6720840" cy="9508490"/>
            <wp:effectExtent l="0" t="0" r="3810" b="16510"/>
            <wp:wrapSquare wrapText="bothSides"/>
            <wp:docPr id="1" name="图片 1" descr="贵安新区区域评估范围图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贵安新区区域评估范围图5"/>
                    <pic:cNvPicPr>
                      <a:picLocks noChangeAspect="1"/>
                    </pic:cNvPicPr>
                  </pic:nvPicPr>
                  <pic:blipFill>
                    <a:blip r:embed="rId6"/>
                    <a:stretch>
                      <a:fillRect/>
                    </a:stretch>
                  </pic:blipFill>
                  <pic:spPr>
                    <a:xfrm>
                      <a:off x="0" y="0"/>
                      <a:ext cx="6720840" cy="9508490"/>
                    </a:xfrm>
                    <a:prstGeom prst="rect">
                      <a:avLst/>
                    </a:prstGeom>
                  </pic:spPr>
                </pic:pic>
              </a:graphicData>
            </a:graphic>
          </wp:anchor>
        </w:drawing>
      </w:r>
    </w:p>
    <w:sectPr>
      <w:footerReference r:id="rId4" w:type="default"/>
      <w:pgSz w:w="11906" w:h="16838"/>
      <w:pgMar w:top="2098" w:right="1474" w:bottom="1701" w:left="1587" w:header="851" w:footer="992" w:gutter="0"/>
      <w:pgBorders>
        <w:top w:val="none" w:sz="0" w:space="0"/>
        <w:left w:val="none" w:sz="0" w:space="0"/>
        <w:bottom w:val="none" w:sz="0" w:space="0"/>
        <w:right w:val="none" w:sz="0" w:space="0"/>
      </w:pgBorders>
      <w:pgNumType w:fmt="numberInDash"/>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43"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panose1 w:val="02010601030101010101"/>
    <w:charset w:val="86"/>
    <w:family w:val="auto"/>
    <w:pitch w:val="default"/>
    <w:sig w:usb0="00000001" w:usb1="080E0000" w:usb2="00000000" w:usb3="00000000" w:csb0="00040000" w:csb1="00000000"/>
  </w:font>
  <w:font w:name="楷体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宋体"/>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- 4 -</w:t>
                          </w:r>
                          <w:r>
                            <w:rPr>
                              <w:rFonts w:hint="eastAsia" w:ascii="宋体" w:hAnsi="宋体" w:eastAsia="宋体" w:cs="宋体"/>
                              <w:sz w:val="28"/>
                              <w:szCs w:val="2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4"/>
                      <w:rPr>
                        <w:rFonts w:hint="eastAsia" w:eastAsia="宋体"/>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- 4 -</w:t>
                    </w:r>
                    <w:r>
                      <w:rPr>
                        <w:rFonts w:hint="eastAsia" w:ascii="宋体" w:hAnsi="宋体" w:eastAsia="宋体" w:cs="宋体"/>
                        <w:sz w:val="28"/>
                        <w:szCs w:val="28"/>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14C8E79"/>
    <w:multiLevelType w:val="singleLevel"/>
    <w:tmpl w:val="B14C8E79"/>
    <w:lvl w:ilvl="0" w:tentative="0">
      <w:start w:val="1"/>
      <w:numFmt w:val="chineseCounting"/>
      <w:suff w:val="nothing"/>
      <w:lvlText w:val="%1、"/>
      <w:lvlJc w:val="left"/>
      <w:rPr>
        <w:rFonts w:hint="eastAsia"/>
      </w:rPr>
    </w:lvl>
  </w:abstractNum>
  <w:abstractNum w:abstractNumId="1">
    <w:nsid w:val="76178331"/>
    <w:multiLevelType w:val="singleLevel"/>
    <w:tmpl w:val="76178331"/>
    <w:lvl w:ilvl="0" w:tentative="0">
      <w:start w:val="1"/>
      <w:numFmt w:val="chineseCounting"/>
      <w:suff w:val="nothing"/>
      <w:lvlText w:val="（%1）"/>
      <w:lvlJc w:val="left"/>
      <w:pPr>
        <w:ind w:left="-10"/>
      </w:pPr>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EwYmJiOGYxMTJkNWY5ODk5ODU1ZjI1ZWQ4YmEyYzgifQ=="/>
  </w:docVars>
  <w:rsids>
    <w:rsidRoot w:val="2C3D5EC3"/>
    <w:rsid w:val="00353508"/>
    <w:rsid w:val="012B39C7"/>
    <w:rsid w:val="023922EA"/>
    <w:rsid w:val="02800069"/>
    <w:rsid w:val="02850F1D"/>
    <w:rsid w:val="028851F0"/>
    <w:rsid w:val="02FF0DAB"/>
    <w:rsid w:val="03A604D2"/>
    <w:rsid w:val="03B57347"/>
    <w:rsid w:val="046E7DF3"/>
    <w:rsid w:val="04916B8A"/>
    <w:rsid w:val="050927E3"/>
    <w:rsid w:val="063A1021"/>
    <w:rsid w:val="068C1C82"/>
    <w:rsid w:val="078733F0"/>
    <w:rsid w:val="07FA70EB"/>
    <w:rsid w:val="09027A45"/>
    <w:rsid w:val="09050DF8"/>
    <w:rsid w:val="09596945"/>
    <w:rsid w:val="0961576A"/>
    <w:rsid w:val="0A2A6BC4"/>
    <w:rsid w:val="0A2D2A29"/>
    <w:rsid w:val="0B487911"/>
    <w:rsid w:val="0CA31D0D"/>
    <w:rsid w:val="0E20004C"/>
    <w:rsid w:val="0E4660CA"/>
    <w:rsid w:val="0EA0138E"/>
    <w:rsid w:val="0F12043A"/>
    <w:rsid w:val="10A42A74"/>
    <w:rsid w:val="10C5064A"/>
    <w:rsid w:val="10EA6068"/>
    <w:rsid w:val="11072F07"/>
    <w:rsid w:val="11E0487B"/>
    <w:rsid w:val="13090559"/>
    <w:rsid w:val="13224E93"/>
    <w:rsid w:val="137E0037"/>
    <w:rsid w:val="15196158"/>
    <w:rsid w:val="151D6A8B"/>
    <w:rsid w:val="153C56CB"/>
    <w:rsid w:val="154A2DBD"/>
    <w:rsid w:val="158845F9"/>
    <w:rsid w:val="16007760"/>
    <w:rsid w:val="16E804A7"/>
    <w:rsid w:val="185D0191"/>
    <w:rsid w:val="18C32F38"/>
    <w:rsid w:val="192C39CC"/>
    <w:rsid w:val="1B3A7A0F"/>
    <w:rsid w:val="1B5B2FEE"/>
    <w:rsid w:val="1BBC045C"/>
    <w:rsid w:val="1BEB14C1"/>
    <w:rsid w:val="1D3F1FF4"/>
    <w:rsid w:val="201A44E3"/>
    <w:rsid w:val="214F363B"/>
    <w:rsid w:val="22330E5B"/>
    <w:rsid w:val="22594DF9"/>
    <w:rsid w:val="22BE0CF6"/>
    <w:rsid w:val="23170BD2"/>
    <w:rsid w:val="237C76F9"/>
    <w:rsid w:val="238E1E71"/>
    <w:rsid w:val="23E8680C"/>
    <w:rsid w:val="249B19AA"/>
    <w:rsid w:val="259B3AD9"/>
    <w:rsid w:val="27BF6C49"/>
    <w:rsid w:val="286C761F"/>
    <w:rsid w:val="2A3F5266"/>
    <w:rsid w:val="2A92041D"/>
    <w:rsid w:val="2B0B5A97"/>
    <w:rsid w:val="2B6736F3"/>
    <w:rsid w:val="2BC531AE"/>
    <w:rsid w:val="2BDC529B"/>
    <w:rsid w:val="2C3D5EC3"/>
    <w:rsid w:val="2C8665EF"/>
    <w:rsid w:val="2DA808DE"/>
    <w:rsid w:val="2FFD3419"/>
    <w:rsid w:val="30101553"/>
    <w:rsid w:val="30794166"/>
    <w:rsid w:val="316C3882"/>
    <w:rsid w:val="31A84FC9"/>
    <w:rsid w:val="31AF251D"/>
    <w:rsid w:val="34111277"/>
    <w:rsid w:val="35665A75"/>
    <w:rsid w:val="357B762F"/>
    <w:rsid w:val="35E30A47"/>
    <w:rsid w:val="36103485"/>
    <w:rsid w:val="36174E39"/>
    <w:rsid w:val="37CA2BB7"/>
    <w:rsid w:val="3808028E"/>
    <w:rsid w:val="382B6167"/>
    <w:rsid w:val="39D14659"/>
    <w:rsid w:val="3A586A3D"/>
    <w:rsid w:val="3AA839FF"/>
    <w:rsid w:val="3AD61395"/>
    <w:rsid w:val="3C04521C"/>
    <w:rsid w:val="3C3928E0"/>
    <w:rsid w:val="3CE878A5"/>
    <w:rsid w:val="3DFF6D77"/>
    <w:rsid w:val="3EFD7071"/>
    <w:rsid w:val="404C5ADB"/>
    <w:rsid w:val="40534F5A"/>
    <w:rsid w:val="40562143"/>
    <w:rsid w:val="40EE5A46"/>
    <w:rsid w:val="420D1C27"/>
    <w:rsid w:val="42502129"/>
    <w:rsid w:val="4284642A"/>
    <w:rsid w:val="42D40101"/>
    <w:rsid w:val="45DA7544"/>
    <w:rsid w:val="46225B52"/>
    <w:rsid w:val="469503C3"/>
    <w:rsid w:val="470322E3"/>
    <w:rsid w:val="48E513A1"/>
    <w:rsid w:val="491A6228"/>
    <w:rsid w:val="496979D8"/>
    <w:rsid w:val="49B42F3F"/>
    <w:rsid w:val="4A652EAA"/>
    <w:rsid w:val="4AB2359D"/>
    <w:rsid w:val="4BA53739"/>
    <w:rsid w:val="4BCC7905"/>
    <w:rsid w:val="4D221612"/>
    <w:rsid w:val="4EB305BF"/>
    <w:rsid w:val="4F0E3568"/>
    <w:rsid w:val="4FF37C22"/>
    <w:rsid w:val="513C52D2"/>
    <w:rsid w:val="51DD594F"/>
    <w:rsid w:val="54394C11"/>
    <w:rsid w:val="54426ED5"/>
    <w:rsid w:val="54595FC9"/>
    <w:rsid w:val="55195644"/>
    <w:rsid w:val="558D7E43"/>
    <w:rsid w:val="55901377"/>
    <w:rsid w:val="58FB6CC9"/>
    <w:rsid w:val="59731FD0"/>
    <w:rsid w:val="59B7247E"/>
    <w:rsid w:val="5BC87073"/>
    <w:rsid w:val="5BE01146"/>
    <w:rsid w:val="5C537035"/>
    <w:rsid w:val="5D7A6D65"/>
    <w:rsid w:val="5E275049"/>
    <w:rsid w:val="5E4109F5"/>
    <w:rsid w:val="5E84744F"/>
    <w:rsid w:val="5F227CAF"/>
    <w:rsid w:val="5F2C1B95"/>
    <w:rsid w:val="61F80AB1"/>
    <w:rsid w:val="635C617C"/>
    <w:rsid w:val="63B17673"/>
    <w:rsid w:val="63C36F5D"/>
    <w:rsid w:val="63D17E4E"/>
    <w:rsid w:val="64C76983"/>
    <w:rsid w:val="654A46DF"/>
    <w:rsid w:val="65A229E6"/>
    <w:rsid w:val="65E50D53"/>
    <w:rsid w:val="664909C7"/>
    <w:rsid w:val="667750D8"/>
    <w:rsid w:val="67230FDA"/>
    <w:rsid w:val="679C4648"/>
    <w:rsid w:val="67AB3A8A"/>
    <w:rsid w:val="68037E7D"/>
    <w:rsid w:val="683B33E7"/>
    <w:rsid w:val="68AF6AEF"/>
    <w:rsid w:val="6A233FFE"/>
    <w:rsid w:val="6A356B7A"/>
    <w:rsid w:val="6C184CEF"/>
    <w:rsid w:val="6C677342"/>
    <w:rsid w:val="6DFD7552"/>
    <w:rsid w:val="6F2C30EE"/>
    <w:rsid w:val="6F8869C2"/>
    <w:rsid w:val="71DC0D54"/>
    <w:rsid w:val="72013152"/>
    <w:rsid w:val="720F2C94"/>
    <w:rsid w:val="722A3770"/>
    <w:rsid w:val="72673EA4"/>
    <w:rsid w:val="74FC07A3"/>
    <w:rsid w:val="767A1C33"/>
    <w:rsid w:val="78371039"/>
    <w:rsid w:val="78745D22"/>
    <w:rsid w:val="78996603"/>
    <w:rsid w:val="78C41ACF"/>
    <w:rsid w:val="78F103E5"/>
    <w:rsid w:val="79335775"/>
    <w:rsid w:val="794652D1"/>
    <w:rsid w:val="794B3420"/>
    <w:rsid w:val="79D04664"/>
    <w:rsid w:val="7B5252EB"/>
    <w:rsid w:val="7B936552"/>
    <w:rsid w:val="7B9B752F"/>
    <w:rsid w:val="7BFD7147"/>
    <w:rsid w:val="7E113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qFormat="1" w:unhideWhenUsed="0" w:uiPriority="99"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10">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2">
    <w:name w:val="table of authorities"/>
    <w:basedOn w:val="1"/>
    <w:next w:val="1"/>
    <w:qFormat/>
    <w:uiPriority w:val="99"/>
    <w:pPr>
      <w:ind w:left="420" w:leftChars="200"/>
    </w:pPr>
  </w:style>
  <w:style w:type="paragraph" w:styleId="3">
    <w:name w:val="Body Text"/>
    <w:basedOn w:val="1"/>
    <w:qFormat/>
    <w:uiPriority w:val="0"/>
    <w:rPr>
      <w:rFonts w:eastAsia="仿宋_GB2312"/>
      <w:color w:val="333333"/>
      <w:sz w:val="30"/>
    </w:r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7">
    <w:name w:val="Normal (Web)"/>
    <w:basedOn w:val="1"/>
    <w:qFormat/>
    <w:uiPriority w:val="0"/>
    <w:pPr>
      <w:pBdr>
        <w:top w:val="none" w:color="auto" w:sz="0" w:space="0"/>
        <w:left w:val="none" w:color="auto" w:sz="0" w:space="0"/>
        <w:bottom w:val="none" w:color="auto" w:sz="0" w:space="0"/>
        <w:right w:val="none" w:color="auto" w:sz="0" w:space="0"/>
      </w:pBdr>
      <w:spacing w:before="0" w:beforeAutospacing="0" w:after="0" w:afterAutospacing="0"/>
      <w:ind w:left="0" w:right="0"/>
      <w:jc w:val="left"/>
    </w:pPr>
    <w:rPr>
      <w:kern w:val="0"/>
      <w:sz w:val="24"/>
      <w:lang w:val="en-US" w:eastAsia="zh-CN" w:bidi="ar"/>
    </w:rPr>
  </w:style>
  <w:style w:type="table" w:styleId="9">
    <w:name w:val="Table Grid"/>
    <w:basedOn w:val="8"/>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Strong"/>
    <w:basedOn w:val="10"/>
    <w:qFormat/>
    <w:uiPriority w:val="0"/>
    <w:rPr>
      <w:b/>
    </w:rPr>
  </w:style>
  <w:style w:type="character" w:styleId="12">
    <w:name w:val="Hyperlink"/>
    <w:basedOn w:val="10"/>
    <w:qFormat/>
    <w:uiPriority w:val="0"/>
    <w:rPr>
      <w:color w:val="0000FF"/>
      <w:u w:val="single"/>
    </w:rPr>
  </w:style>
  <w:style w:type="paragraph" w:customStyle="1" w:styleId="13">
    <w:name w:val="Body Text First Indent 21"/>
    <w:basedOn w:val="14"/>
    <w:qFormat/>
    <w:uiPriority w:val="0"/>
    <w:pPr>
      <w:ind w:left="0" w:firstLine="420"/>
    </w:pPr>
    <w:rPr>
      <w:rFonts w:ascii="仿宋_GB2312" w:eastAsia="仿宋_GB2312" w:cs="仿宋_GB2312"/>
      <w:sz w:val="32"/>
      <w:szCs w:val="32"/>
    </w:rPr>
  </w:style>
  <w:style w:type="paragraph" w:customStyle="1" w:styleId="14">
    <w:name w:val="Body Text Indent1"/>
    <w:basedOn w:val="1"/>
    <w:qFormat/>
    <w:uiPriority w:val="0"/>
    <w:pPr>
      <w:spacing w:after="120" w:afterLines="0"/>
      <w:ind w:left="420" w:leftChars="200"/>
    </w:pPr>
    <w:rPr>
      <w:rFonts w:ascii="Times New Roman" w:hAnsi="Times New Roman" w:eastAsia="宋体" w:cs="Times New Roman"/>
    </w:rPr>
  </w:style>
  <w:style w:type="paragraph" w:customStyle="1" w:styleId="15">
    <w:name w:val="p16"/>
    <w:basedOn w:val="1"/>
    <w:qFormat/>
    <w:uiPriority w:val="0"/>
    <w:pPr>
      <w:widowControl/>
    </w:pPr>
    <w:rPr>
      <w:rFonts w:ascii="Calibri" w:hAnsi="Calibri" w:cs="宋体"/>
      <w:kern w:val="0"/>
      <w:szCs w:val="21"/>
    </w:rPr>
  </w:style>
  <w:style w:type="paragraph" w:customStyle="1" w:styleId="16">
    <w:name w:val="样式3"/>
    <w:basedOn w:val="17"/>
    <w:qFormat/>
    <w:uiPriority w:val="0"/>
    <w:pPr>
      <w:snapToGrid w:val="0"/>
      <w:contextualSpacing/>
    </w:pPr>
  </w:style>
  <w:style w:type="paragraph" w:customStyle="1" w:styleId="17">
    <w:name w:val="样式2"/>
    <w:basedOn w:val="1"/>
    <w:qFormat/>
    <w:uiPriority w:val="0"/>
    <w:pPr>
      <w:widowControl/>
      <w:spacing w:before="100" w:beforeAutospacing="1" w:after="100" w:afterAutospacing="1" w:line="560" w:lineRule="exact"/>
      <w:jc w:val="left"/>
    </w:pPr>
    <w:rPr>
      <w:rFonts w:ascii="仿宋" w:hAnsi="仿宋" w:eastAsia="仿宋" w:cs="宋体"/>
      <w:kern w:val="0"/>
      <w:sz w:val="32"/>
      <w:szCs w:val="32"/>
    </w:rPr>
  </w:style>
  <w:style w:type="paragraph" w:customStyle="1" w:styleId="18">
    <w:name w:val="Body text|1"/>
    <w:basedOn w:val="1"/>
    <w:qFormat/>
    <w:uiPriority w:val="0"/>
    <w:pPr>
      <w:widowControl w:val="0"/>
      <w:shd w:val="clear" w:color="auto" w:fill="FFFFFF"/>
      <w:spacing w:line="422" w:lineRule="auto"/>
      <w:ind w:firstLine="400"/>
    </w:pPr>
    <w:rPr>
      <w:rFonts w:ascii="宋体" w:hAnsi="宋体" w:eastAsia="宋体" w:cs="宋体"/>
      <w:sz w:val="28"/>
      <w:szCs w:val="28"/>
      <w:u w:val="none"/>
      <w:lang w:val="zh-CN" w:eastAsia="zh-CN" w:bidi="zh-CN"/>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1422</Words>
  <Characters>1426</Characters>
  <Lines>0</Lines>
  <Paragraphs>0</Paragraphs>
  <TotalTime>1</TotalTime>
  <ScaleCrop>false</ScaleCrop>
  <LinksUpToDate>false</LinksUpToDate>
  <CharactersWithSpaces>1427</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2019-05-15T06:46:00Z</dcterms:created>
  <dc:creator>路阳</dc:creator>
  <cp:lastModifiedBy>lenovo</cp:lastModifiedBy>
  <cp:lastPrinted>2019-06-04T09:29:00Z</cp:lastPrinted>
  <dcterms:modified xsi:type="dcterms:W3CDTF">2022-07-26T02:15:05Z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y fmtid="{D5CDD505-2E9C-101B-9397-08002B2CF9AE}" pid="3" name="ICV">
    <vt:lpwstr>F18D9D30A7274559A902DB121CC8E0F0</vt:lpwstr>
  </property>
</Properties>
</file>