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231F20"/>
          <w:kern w:val="0"/>
          <w:sz w:val="44"/>
          <w:szCs w:val="44"/>
          <w:lang w:val="en-US" w:eastAsia="zh-CN" w:bidi="ar"/>
        </w:rPr>
      </w:pPr>
      <w:r>
        <w:rPr>
          <w:rFonts w:hint="eastAsia" w:ascii="方正小标宋简体" w:hAnsi="方正小标宋简体" w:eastAsia="方正小标宋简体" w:cs="方正小标宋简体"/>
          <w:color w:val="auto"/>
          <w:sz w:val="44"/>
          <w:szCs w:val="44"/>
          <w:lang w:val="en-US" w:eastAsia="zh-CN"/>
        </w:rPr>
        <w:t>2023年</w:t>
      </w:r>
      <w:r>
        <w:rPr>
          <w:rFonts w:hint="eastAsia" w:ascii="方正小标宋简体" w:hAnsi="方正小标宋简体" w:eastAsia="方正小标宋简体" w:cs="方正小标宋简体"/>
          <w:color w:val="auto"/>
          <w:sz w:val="44"/>
          <w:szCs w:val="44"/>
          <w:lang w:eastAsia="zh-CN"/>
        </w:rPr>
        <w:t>全面推进乡村振兴（</w:t>
      </w:r>
      <w:r>
        <w:rPr>
          <w:rFonts w:hint="eastAsia" w:ascii="方正小标宋简体" w:hAnsi="方正小标宋简体" w:eastAsia="方正小标宋简体" w:cs="方正小标宋简体"/>
          <w:color w:val="auto"/>
          <w:sz w:val="44"/>
          <w:szCs w:val="44"/>
          <w:lang w:val="en-US" w:eastAsia="zh-CN"/>
        </w:rPr>
        <w:t>卫生健康</w:t>
      </w:r>
      <w:r>
        <w:rPr>
          <w:rFonts w:hint="eastAsia" w:ascii="方正小标宋简体" w:hAnsi="方正小标宋简体" w:eastAsia="方正小标宋简体" w:cs="方正小标宋简体"/>
          <w:color w:val="auto"/>
          <w:sz w:val="44"/>
          <w:szCs w:val="44"/>
          <w:lang w:eastAsia="zh-CN"/>
        </w:rPr>
        <w:t>）</w:t>
      </w:r>
      <w:r>
        <w:rPr>
          <w:rFonts w:hint="eastAsia" w:ascii="方正小标宋简体" w:hAnsi="方正小标宋简体" w:eastAsia="方正小标宋简体" w:cs="方正小标宋简体"/>
          <w:color w:val="231F20"/>
          <w:kern w:val="0"/>
          <w:sz w:val="44"/>
          <w:szCs w:val="44"/>
          <w:lang w:val="en-US" w:eastAsia="zh-CN" w:bidi="ar"/>
        </w:rPr>
        <w:t>工作责任分解表</w:t>
      </w:r>
    </w:p>
    <w:p>
      <w:pPr>
        <w:pStyle w:val="2"/>
        <w:rPr>
          <w:rFonts w:hint="default"/>
          <w:lang w:val="en-US" w:eastAsia="zh-CN"/>
        </w:rPr>
      </w:pPr>
    </w:p>
    <w:tbl>
      <w:tblPr>
        <w:tblStyle w:val="10"/>
        <w:tblW w:w="13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762"/>
        <w:gridCol w:w="7000"/>
        <w:gridCol w:w="1975"/>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trPr>
        <w:tc>
          <w:tcPr>
            <w:tcW w:w="891"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default" w:ascii="仿宋_GB2312" w:hAnsi="宋体" w:eastAsia="仿宋_GB2312" w:cs="仿宋_GB2312"/>
                <w:b/>
                <w:bCs/>
                <w:color w:val="231F20"/>
                <w:kern w:val="0"/>
                <w:sz w:val="32"/>
                <w:szCs w:val="32"/>
                <w:vertAlign w:val="baseline"/>
                <w:lang w:val="en-US" w:eastAsia="zh-CN" w:bidi="ar"/>
              </w:rPr>
            </w:pPr>
            <w:r>
              <w:rPr>
                <w:rFonts w:hint="eastAsia" w:ascii="仿宋_GB2312" w:hAnsi="宋体" w:eastAsia="仿宋_GB2312" w:cs="仿宋_GB2312"/>
                <w:b/>
                <w:bCs/>
                <w:color w:val="231F20"/>
                <w:kern w:val="0"/>
                <w:sz w:val="32"/>
                <w:szCs w:val="32"/>
                <w:vertAlign w:val="baseline"/>
                <w:lang w:val="en-US" w:eastAsia="zh-CN" w:bidi="ar"/>
              </w:rPr>
              <w:t>序号</w:t>
            </w:r>
          </w:p>
        </w:tc>
        <w:tc>
          <w:tcPr>
            <w:tcW w:w="1762"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default" w:ascii="仿宋_GB2312" w:hAnsi="宋体" w:eastAsia="仿宋_GB2312" w:cs="仿宋_GB2312"/>
                <w:b/>
                <w:bCs/>
                <w:color w:val="231F20"/>
                <w:kern w:val="0"/>
                <w:sz w:val="32"/>
                <w:szCs w:val="32"/>
                <w:vertAlign w:val="baseline"/>
                <w:lang w:val="en-US" w:eastAsia="zh-CN" w:bidi="ar"/>
              </w:rPr>
            </w:pPr>
            <w:r>
              <w:rPr>
                <w:rFonts w:hint="eastAsia" w:ascii="仿宋_GB2312" w:hAnsi="宋体" w:eastAsia="仿宋_GB2312" w:cs="仿宋_GB2312"/>
                <w:b/>
                <w:bCs/>
                <w:color w:val="231F20"/>
                <w:kern w:val="0"/>
                <w:sz w:val="32"/>
                <w:szCs w:val="32"/>
                <w:vertAlign w:val="baseline"/>
                <w:lang w:val="en-US" w:eastAsia="zh-CN" w:bidi="ar"/>
              </w:rPr>
              <w:t>工作措施</w:t>
            </w:r>
          </w:p>
        </w:tc>
        <w:tc>
          <w:tcPr>
            <w:tcW w:w="700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default" w:ascii="仿宋_GB2312" w:hAnsi="宋体" w:eastAsia="仿宋_GB2312" w:cs="仿宋_GB2312"/>
                <w:b/>
                <w:bCs/>
                <w:color w:val="231F20"/>
                <w:kern w:val="0"/>
                <w:sz w:val="32"/>
                <w:szCs w:val="32"/>
                <w:vertAlign w:val="baseline"/>
                <w:lang w:val="en-US" w:eastAsia="zh-CN" w:bidi="ar"/>
              </w:rPr>
            </w:pPr>
            <w:r>
              <w:rPr>
                <w:rFonts w:hint="eastAsia" w:ascii="仿宋_GB2312" w:hAnsi="宋体" w:eastAsia="仿宋_GB2312" w:cs="仿宋_GB2312"/>
                <w:b/>
                <w:bCs/>
                <w:color w:val="231F20"/>
                <w:kern w:val="0"/>
                <w:sz w:val="32"/>
                <w:szCs w:val="32"/>
                <w:vertAlign w:val="baseline"/>
                <w:lang w:val="en-US" w:eastAsia="zh-CN" w:bidi="ar"/>
              </w:rPr>
              <w:t>工 作 任 务</w:t>
            </w:r>
          </w:p>
        </w:tc>
        <w:tc>
          <w:tcPr>
            <w:tcW w:w="1975"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default" w:ascii="仿宋_GB2312" w:hAnsi="宋体" w:eastAsia="仿宋_GB2312" w:cs="仿宋_GB2312"/>
                <w:b/>
                <w:bCs/>
                <w:color w:val="231F20"/>
                <w:kern w:val="0"/>
                <w:sz w:val="32"/>
                <w:szCs w:val="32"/>
                <w:vertAlign w:val="baseline"/>
                <w:lang w:val="en-US" w:eastAsia="zh-CN" w:bidi="ar"/>
              </w:rPr>
            </w:pPr>
            <w:r>
              <w:rPr>
                <w:rFonts w:hint="eastAsia" w:ascii="仿宋_GB2312" w:hAnsi="宋体" w:eastAsia="仿宋_GB2312" w:cs="仿宋_GB2312"/>
                <w:b/>
                <w:bCs/>
                <w:color w:val="231F20"/>
                <w:kern w:val="0"/>
                <w:sz w:val="32"/>
                <w:szCs w:val="32"/>
                <w:vertAlign w:val="baseline"/>
                <w:lang w:val="en-US" w:eastAsia="zh-CN" w:bidi="ar"/>
              </w:rPr>
              <w:t>牵头处室</w:t>
            </w:r>
          </w:p>
        </w:tc>
        <w:tc>
          <w:tcPr>
            <w:tcW w:w="2000" w:type="dxa"/>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default" w:ascii="仿宋_GB2312" w:hAnsi="宋体" w:eastAsia="仿宋_GB2312" w:cs="仿宋_GB2312"/>
                <w:b/>
                <w:bCs/>
                <w:color w:val="231F20"/>
                <w:kern w:val="0"/>
                <w:sz w:val="32"/>
                <w:szCs w:val="32"/>
                <w:vertAlign w:val="baseline"/>
                <w:lang w:val="en-US" w:eastAsia="zh-CN" w:bidi="ar"/>
              </w:rPr>
            </w:pPr>
            <w:r>
              <w:rPr>
                <w:rFonts w:hint="eastAsia" w:ascii="仿宋_GB2312" w:hAnsi="宋体" w:eastAsia="仿宋_GB2312" w:cs="仿宋_GB2312"/>
                <w:b/>
                <w:bCs/>
                <w:color w:val="231F20"/>
                <w:kern w:val="0"/>
                <w:sz w:val="32"/>
                <w:szCs w:val="32"/>
                <w:vertAlign w:val="baseline"/>
                <w:lang w:val="en-US" w:eastAsia="zh-CN" w:bidi="ar"/>
              </w:rPr>
              <w:t>责任处室及单位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trPr>
        <w:tc>
          <w:tcPr>
            <w:tcW w:w="89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（一）</w:t>
            </w:r>
          </w:p>
        </w:tc>
        <w:tc>
          <w:tcPr>
            <w:tcW w:w="176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b w:val="0"/>
                <w:bCs w:val="0"/>
                <w:color w:val="231F20"/>
                <w:kern w:val="0"/>
                <w:sz w:val="24"/>
                <w:szCs w:val="24"/>
                <w:vertAlign w:val="baseline"/>
                <w:lang w:val="en-US" w:eastAsia="zh-CN" w:bidi="ar"/>
              </w:rPr>
              <w:t>巩固“三个三”成果，确保医疗服务有阵地</w:t>
            </w:r>
          </w:p>
        </w:tc>
        <w:tc>
          <w:tcPr>
            <w:tcW w:w="70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b w:val="0"/>
                <w:bCs w:val="0"/>
                <w:color w:val="231F20"/>
                <w:kern w:val="0"/>
                <w:sz w:val="24"/>
                <w:szCs w:val="24"/>
                <w:vertAlign w:val="baseline"/>
                <w:lang w:val="en-US" w:eastAsia="zh-CN" w:bidi="ar"/>
              </w:rPr>
              <w:t>1.进一步落实好行政村卫生室标准化建设和合格村医的配备等工作要求，动态监测乡村两级医疗卫生机构和人员变化情况，根据服务区域人口变化趋势，合理调整优化医疗卫生机构设置和人员配备，提高卫生资源使用效率；2.鼓励采取县乡巡诊服务、上级机构派驻（二、三级医院需形成人、财、物的“组团式”全方位帮扶）、邻（联）村卫生室延伸服务等多种方式实现农村医疗卫生服务全覆盖；3.加强村级医疗卫生服务覆盖监测，强化督导检查，及时发现并消除服务“空白点”，持续保持村级医疗卫生机构和人员“空白点”动态清零。</w:t>
            </w:r>
          </w:p>
        </w:tc>
        <w:tc>
          <w:tcPr>
            <w:tcW w:w="197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val="0"/>
                <w:bCs w:val="0"/>
                <w:color w:val="231F20"/>
                <w:kern w:val="0"/>
                <w:sz w:val="24"/>
                <w:szCs w:val="24"/>
                <w:vertAlign w:val="baseline"/>
                <w:lang w:val="en-US" w:eastAsia="zh-CN" w:bidi="ar"/>
              </w:rPr>
            </w:pPr>
            <w:r>
              <w:rPr>
                <w:rFonts w:hint="eastAsia" w:ascii="仿宋_GB2312" w:hAnsi="仿宋_GB2312" w:eastAsia="仿宋_GB2312" w:cs="仿宋_GB2312"/>
                <w:b w:val="0"/>
                <w:bCs w:val="0"/>
                <w:color w:val="231F20"/>
                <w:kern w:val="0"/>
                <w:sz w:val="24"/>
                <w:szCs w:val="24"/>
                <w:vertAlign w:val="baseline"/>
                <w:lang w:val="en-US" w:eastAsia="zh-CN" w:bidi="ar"/>
              </w:rPr>
              <w:t>基层卫生健康处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ascii="仿宋_GB2312" w:hAnsi="仿宋_GB2312" w:eastAsia="仿宋_GB2312" w:cs="仿宋_GB2312"/>
                <w:b w:val="0"/>
                <w:bCs w:val="0"/>
                <w:color w:val="231F20"/>
                <w:kern w:val="0"/>
                <w:sz w:val="24"/>
                <w:szCs w:val="24"/>
                <w:vertAlign w:val="baseline"/>
                <w:lang w:val="en-US" w:eastAsia="zh-CN" w:bidi="ar"/>
              </w:rPr>
              <w:t>医政医管处</w:t>
            </w:r>
          </w:p>
        </w:tc>
        <w:tc>
          <w:tcPr>
            <w:tcW w:w="200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区（市、县）卫生健康局</w:t>
            </w:r>
          </w:p>
        </w:tc>
      </w:tr>
    </w:tbl>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br w:type="page"/>
      </w:r>
    </w:p>
    <w:tbl>
      <w:tblPr>
        <w:tblStyle w:val="10"/>
        <w:tblW w:w="136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852"/>
        <w:gridCol w:w="6941"/>
        <w:gridCol w:w="1950"/>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2" w:hRule="atLeast"/>
        </w:trPr>
        <w:tc>
          <w:tcPr>
            <w:tcW w:w="87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（二）</w:t>
            </w:r>
          </w:p>
        </w:tc>
        <w:tc>
          <w:tcPr>
            <w:tcW w:w="185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color w:val="231F20"/>
                <w:kern w:val="0"/>
                <w:sz w:val="24"/>
                <w:szCs w:val="24"/>
                <w:vertAlign w:val="baseline"/>
                <w:lang w:val="en-US" w:eastAsia="zh-CN" w:bidi="ar"/>
              </w:rPr>
            </w:pPr>
            <w:r>
              <w:rPr>
                <w:rFonts w:hint="eastAsia" w:ascii="仿宋_GB2312" w:hAnsi="仿宋_GB2312" w:eastAsia="仿宋_GB2312" w:cs="仿宋_GB2312"/>
                <w:b w:val="0"/>
                <w:bCs w:val="0"/>
                <w:color w:val="231F20"/>
                <w:kern w:val="0"/>
                <w:sz w:val="24"/>
                <w:szCs w:val="24"/>
                <w:vertAlign w:val="baseline"/>
                <w:lang w:val="en-US" w:eastAsia="zh-CN" w:bidi="ar"/>
              </w:rPr>
              <w:t>持续动态监测和帮扶，严防群众因病返贫致贫</w:t>
            </w:r>
          </w:p>
        </w:tc>
        <w:tc>
          <w:tcPr>
            <w:tcW w:w="694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b w:val="0"/>
                <w:bCs w:val="0"/>
                <w:color w:val="231F20"/>
                <w:kern w:val="0"/>
                <w:sz w:val="24"/>
                <w:szCs w:val="24"/>
                <w:vertAlign w:val="baseline"/>
                <w:lang w:val="en-US" w:eastAsia="zh-CN" w:bidi="ar"/>
              </w:rPr>
            </w:pPr>
            <w:r>
              <w:rPr>
                <w:rFonts w:hint="eastAsia" w:ascii="仿宋_GB2312" w:hAnsi="仿宋_GB2312" w:eastAsia="仿宋_GB2312" w:cs="仿宋_GB2312"/>
                <w:b w:val="0"/>
                <w:bCs w:val="0"/>
                <w:color w:val="231F20"/>
                <w:kern w:val="0"/>
                <w:sz w:val="24"/>
                <w:szCs w:val="24"/>
                <w:vertAlign w:val="baseline"/>
                <w:lang w:val="en-US" w:eastAsia="zh-CN" w:bidi="ar"/>
              </w:rPr>
              <w:t>1.加强与农业农村局数据核对，利用全国防止因病返贫动态监测系统的人员基础信息，及时调查核实监测对象健康和医疗综合保障情况；2.各地可结合城乡居民基本医保参保信息、监测对象所在地二级及以上医疗机构住院病案首页、居民电子健康档案和贵州省村卫生室综合信息系统消除致贫返贫风险情况等现有数据信息，加强联动配合，充分发挥各级力量通过各种方式调查核实有关信息；3.对“因大病”有返贫风险的及时监测；4.实施防贫预警监测对象帮扶措施落实情况调度机制</w:t>
            </w:r>
            <w:bookmarkStart w:id="0" w:name="_GoBack"/>
            <w:bookmarkEnd w:id="0"/>
            <w:r>
              <w:rPr>
                <w:rFonts w:hint="eastAsia" w:ascii="仿宋_GB2312" w:hAnsi="仿宋_GB2312" w:eastAsia="仿宋_GB2312" w:cs="仿宋_GB2312"/>
                <w:b w:val="0"/>
                <w:bCs w:val="0"/>
                <w:color w:val="231F20"/>
                <w:kern w:val="0"/>
                <w:sz w:val="24"/>
                <w:szCs w:val="24"/>
                <w:vertAlign w:val="baseline"/>
                <w:lang w:val="en-US" w:eastAsia="zh-CN" w:bidi="ar"/>
              </w:rPr>
              <w:t>，坚决杜绝返贫致贫。</w:t>
            </w:r>
          </w:p>
        </w:tc>
        <w:tc>
          <w:tcPr>
            <w:tcW w:w="195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基层卫生健康处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default"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医政医管处</w:t>
            </w:r>
          </w:p>
        </w:tc>
        <w:tc>
          <w:tcPr>
            <w:tcW w:w="20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区（市、县）卫生健康局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7" w:hRule="atLeast"/>
        </w:trPr>
        <w:tc>
          <w:tcPr>
            <w:tcW w:w="87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（三）</w:t>
            </w:r>
          </w:p>
        </w:tc>
        <w:tc>
          <w:tcPr>
            <w:tcW w:w="185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b w:val="0"/>
                <w:bCs w:val="0"/>
                <w:color w:val="231F20"/>
                <w:kern w:val="0"/>
                <w:sz w:val="24"/>
                <w:szCs w:val="24"/>
                <w:vertAlign w:val="baseline"/>
                <w:lang w:val="en-US" w:eastAsia="zh-CN" w:bidi="ar"/>
              </w:rPr>
            </w:pPr>
            <w:r>
              <w:rPr>
                <w:rFonts w:hint="eastAsia" w:ascii="仿宋_GB2312" w:hAnsi="仿宋_GB2312" w:eastAsia="仿宋_GB2312" w:cs="仿宋_GB2312"/>
                <w:b w:val="0"/>
                <w:bCs w:val="0"/>
                <w:color w:val="231F20"/>
                <w:kern w:val="0"/>
                <w:sz w:val="24"/>
                <w:szCs w:val="24"/>
                <w:vertAlign w:val="baseline"/>
                <w:lang w:val="en-US" w:eastAsia="zh-CN" w:bidi="ar"/>
              </w:rPr>
              <w:t>开展“回头看”行动，促进工作措施落实落地</w:t>
            </w:r>
          </w:p>
        </w:tc>
        <w:tc>
          <w:tcPr>
            <w:tcW w:w="694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b w:val="0"/>
                <w:bCs w:val="0"/>
                <w:color w:val="231F20"/>
                <w:kern w:val="0"/>
                <w:sz w:val="24"/>
                <w:szCs w:val="24"/>
                <w:vertAlign w:val="baseline"/>
                <w:lang w:val="en-US" w:eastAsia="zh-CN" w:bidi="ar"/>
              </w:rPr>
            </w:pPr>
            <w:r>
              <w:rPr>
                <w:rFonts w:hint="eastAsia" w:ascii="仿宋_GB2312" w:hAnsi="仿宋_GB2312" w:eastAsia="仿宋_GB2312" w:cs="仿宋_GB2312"/>
                <w:b w:val="0"/>
                <w:bCs w:val="0"/>
                <w:color w:val="231F20"/>
                <w:kern w:val="0"/>
                <w:sz w:val="24"/>
                <w:szCs w:val="24"/>
                <w:vertAlign w:val="baseline"/>
                <w:lang w:val="en-US" w:eastAsia="zh-CN" w:bidi="ar"/>
              </w:rPr>
              <w:t>1.查看家庭医生签约服务情况：是否重点做好监测人群（一般脱贫户、脱贫不稳定户、边缘易致贫户、突发严重困难户）高血压、糖尿病、肺结核、严重精神障碍等四类主要慢病患者的规范管理和健康服务。2.查看“先诊疗后付费”落实情况：是否有序将县域内“先诊疗后付费”政策保障对象调整为农村低保对象、特困人员和易返贫致贫人口。3.查看大病专项救治工作情况：各定点医院收治的大病患者是否享受“先诊疗后付费”政策，出院后乡镇卫生院是否对其进行后续管理。4.查看医疗保障领域网络舆情、“防贫申报”、部门预警线索、各级巡视审计督查暗访发现问题等核实整改是否真实、准确。5.继续开展省内医疗帮扶协作，依托市级优质医疗资源帮扶长顺、罗甸等兄弟县。</w:t>
            </w:r>
          </w:p>
        </w:tc>
        <w:tc>
          <w:tcPr>
            <w:tcW w:w="195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基层卫生健康处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医政医管处</w:t>
            </w:r>
          </w:p>
        </w:tc>
        <w:tc>
          <w:tcPr>
            <w:tcW w:w="20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区（市、县）卫生健康局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trPr>
        <w:tc>
          <w:tcPr>
            <w:tcW w:w="87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（四）</w:t>
            </w:r>
          </w:p>
        </w:tc>
        <w:tc>
          <w:tcPr>
            <w:tcW w:w="185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val="0"/>
                <w:bCs w:val="0"/>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做好分类救治，强化患病群众健康管理</w:t>
            </w:r>
          </w:p>
        </w:tc>
        <w:tc>
          <w:tcPr>
            <w:tcW w:w="694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b w:val="0"/>
                <w:bCs w:val="0"/>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1.对需要治疗干预的，及时指导做好住院转诊服务、治疗后的用药指导和康复管理等；2.对需要健康管理的，及时落实家庭医生签约服务，开展定期随访，做好公共卫生、慢病管理、健康咨询和中医干预等综合服务；3.根据国家有关要求调整优化大病专项救治工作政策，各地要持续开展跟踪监测,及时落实帮扶政策</w:t>
            </w:r>
            <w:r>
              <w:rPr>
                <w:rFonts w:hint="default" w:ascii="仿宋_GB2312" w:hAnsi="仿宋_GB2312" w:eastAsia="仿宋_GB2312" w:cs="仿宋_GB2312"/>
                <w:color w:val="231F20"/>
                <w:kern w:val="0"/>
                <w:sz w:val="24"/>
                <w:szCs w:val="24"/>
                <w:vertAlign w:val="baseline"/>
                <w:lang w:val="en-US" w:eastAsia="zh-CN" w:bidi="ar"/>
              </w:rPr>
              <w:t>,</w:t>
            </w:r>
            <w:r>
              <w:rPr>
                <w:rFonts w:hint="eastAsia" w:ascii="仿宋_GB2312" w:hAnsi="仿宋_GB2312" w:eastAsia="仿宋_GB2312" w:cs="仿宋_GB2312"/>
                <w:color w:val="231F20"/>
                <w:kern w:val="0"/>
                <w:sz w:val="24"/>
                <w:szCs w:val="24"/>
                <w:vertAlign w:val="baseline"/>
                <w:lang w:val="en-US" w:eastAsia="zh-CN" w:bidi="ar"/>
              </w:rPr>
              <w:t>确保应管尽管、应治尽治。</w:t>
            </w:r>
          </w:p>
        </w:tc>
        <w:tc>
          <w:tcPr>
            <w:tcW w:w="195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基层卫生健康处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医政医管处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中医药管理处</w:t>
            </w:r>
          </w:p>
        </w:tc>
        <w:tc>
          <w:tcPr>
            <w:tcW w:w="20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区（市、县）卫生健康局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4" w:hRule="atLeast"/>
        </w:trPr>
        <w:tc>
          <w:tcPr>
            <w:tcW w:w="87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（五）</w:t>
            </w:r>
          </w:p>
        </w:tc>
        <w:tc>
          <w:tcPr>
            <w:tcW w:w="185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加强农村低收入人口健康帮扶</w:t>
            </w:r>
          </w:p>
        </w:tc>
        <w:tc>
          <w:tcPr>
            <w:tcW w:w="694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1.重点落实对农村低收入人口的大病专项救治、家庭医生签约服务等措施；2.加强老年人、妇儿保、“两病患者”、严重精神障碍等重点人群因病致贫返贫风险人群常态化健康帮扶落实情况的监测。</w:t>
            </w:r>
          </w:p>
        </w:tc>
        <w:tc>
          <w:tcPr>
            <w:tcW w:w="195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基层卫生健康处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医政医管处</w:t>
            </w:r>
          </w:p>
        </w:tc>
        <w:tc>
          <w:tcPr>
            <w:tcW w:w="20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区（市、县）卫生健康局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9" w:hRule="atLeast"/>
        </w:trPr>
        <w:tc>
          <w:tcPr>
            <w:tcW w:w="87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（六）</w:t>
            </w:r>
          </w:p>
        </w:tc>
        <w:tc>
          <w:tcPr>
            <w:tcW w:w="185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加强乡村服务能力建设，筑牢乡村振兴卫生网底</w:t>
            </w:r>
          </w:p>
        </w:tc>
        <w:tc>
          <w:tcPr>
            <w:tcW w:w="694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1.推进县域医疗次中心建设，打造基层医疗机构特色（重点）专科建设；2.明确乡村医生职责定位，规范乡村医生管理，依法开展基本医疗、基本公共卫生及中医药适宜技术服务，严格落实首诊负责制和预检分诊制；3.完善乡村医生药品保障，确保村卫生室基本药品由乡镇卫生院统一采购、统筹调配，达80种以上；优先配备高血压、糖尿病、新冠病毒感染治疗药品及必要的抢救药品，定期清理和调配临近过期药品，保障群众用药需求及安全。</w:t>
            </w:r>
          </w:p>
        </w:tc>
        <w:tc>
          <w:tcPr>
            <w:tcW w:w="195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基层卫生健康处</w:t>
            </w:r>
          </w:p>
        </w:tc>
        <w:tc>
          <w:tcPr>
            <w:tcW w:w="20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区（市、县）卫生健康局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3" w:hRule="atLeast"/>
        </w:trPr>
        <w:tc>
          <w:tcPr>
            <w:tcW w:w="87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（七）</w:t>
            </w:r>
          </w:p>
        </w:tc>
        <w:tc>
          <w:tcPr>
            <w:tcW w:w="1852"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540" w:lineRule="exact"/>
              <w:jc w:val="both"/>
              <w:textAlignment w:val="auto"/>
              <w:rPr>
                <w:rFonts w:hint="eastAsia" w:ascii="楷体_GB2312" w:hAnsi="楷体_GB2312" w:eastAsia="楷体_GB2312" w:cs="楷体_GB2312"/>
                <w:color w:val="auto"/>
                <w:sz w:val="32"/>
                <w:szCs w:val="32"/>
                <w:lang w:val="en-US" w:eastAsia="zh-CN"/>
              </w:rPr>
            </w:pPr>
            <w:r>
              <w:rPr>
                <w:rFonts w:hint="eastAsia" w:ascii="仿宋_GB2312" w:hAnsi="仿宋_GB2312" w:eastAsia="仿宋_GB2312" w:cs="仿宋_GB2312"/>
                <w:color w:val="231F20"/>
                <w:kern w:val="0"/>
                <w:sz w:val="24"/>
                <w:szCs w:val="24"/>
                <w:vertAlign w:val="baseline"/>
                <w:lang w:val="en-US" w:eastAsia="zh-CN" w:bidi="ar"/>
              </w:rPr>
              <w:t>加强基层卫生人才队伍建设，提升综合服务能力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p>
        </w:tc>
        <w:tc>
          <w:tcPr>
            <w:tcW w:w="694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1.做好乡镇卫生院简化程序招聘专业技术人员相关事宜；2.鼓励中医或中西医人才到基层医疗机构就业；3.加强乡村医生培养培训，按照“市级统筹、县级主抓、乡镇参与”的原则，加强乡村医生应知应会业务和技能培训，鼓励乡村医生向执业（助理）医师转变；4.持续开展村医培训效果及业务能力监测评估，推动乡村医生规范安全开展基本医疗、基本公共卫生和健康管理等工作，鼓励符合条件的村医积极开展肌肉注射和静脉给药服务；5.通过健全完善各项培养、培训、激励、考核及退出机制，充分调动乡村医生积极性，筑牢乡村医疗卫生服务网底。</w:t>
            </w:r>
          </w:p>
        </w:tc>
        <w:tc>
          <w:tcPr>
            <w:tcW w:w="195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基层卫生健康处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人事处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医政医管处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default"/>
                <w:lang w:val="en-US" w:eastAsia="zh-CN"/>
              </w:rPr>
            </w:pPr>
            <w:r>
              <w:rPr>
                <w:rFonts w:hint="eastAsia" w:ascii="仿宋_GB2312" w:hAnsi="仿宋_GB2312" w:eastAsia="仿宋_GB2312" w:cs="仿宋_GB2312"/>
                <w:color w:val="231F20"/>
                <w:kern w:val="0"/>
                <w:sz w:val="24"/>
                <w:szCs w:val="24"/>
                <w:vertAlign w:val="baseline"/>
                <w:lang w:val="en-US" w:eastAsia="zh-CN" w:bidi="ar"/>
              </w:rPr>
              <w:t>中医药管理处</w:t>
            </w:r>
          </w:p>
        </w:tc>
        <w:tc>
          <w:tcPr>
            <w:tcW w:w="20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区（市、县）卫生健康局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7" w:hRule="atLeast"/>
        </w:trPr>
        <w:tc>
          <w:tcPr>
            <w:tcW w:w="87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（八）</w:t>
            </w:r>
          </w:p>
        </w:tc>
        <w:tc>
          <w:tcPr>
            <w:tcW w:w="185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深入开展爱国卫生运动，提升农村群众健康素养</w:t>
            </w:r>
          </w:p>
        </w:tc>
        <w:tc>
          <w:tcPr>
            <w:tcW w:w="694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1.广泛开展健康科普知识宣传，倡导戒烟限酒、适量运动、合理膳食、心理平衡的健康生活方式；2.持续推进健康贵阳行动，稳步提高全民健康素养水平，加快推广健康生活方式；3.组织开展病媒生物防治工作，有效控制“四害”密度；4.开展“三减三健”（减盐、减油、减糖，健康口腔、健康体重、健康骨骼）宣教活动，全面提高农村地区公众健康素养。</w:t>
            </w:r>
          </w:p>
        </w:tc>
        <w:tc>
          <w:tcPr>
            <w:tcW w:w="195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爱卫办</w:t>
            </w:r>
          </w:p>
        </w:tc>
        <w:tc>
          <w:tcPr>
            <w:tcW w:w="20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区（市、县）卫生健康局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2" w:hRule="atLeast"/>
        </w:trPr>
        <w:tc>
          <w:tcPr>
            <w:tcW w:w="878"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（九）</w:t>
            </w:r>
          </w:p>
        </w:tc>
        <w:tc>
          <w:tcPr>
            <w:tcW w:w="1852"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default"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加强驻村指导，推动驻村工作全面发展</w:t>
            </w:r>
          </w:p>
        </w:tc>
        <w:tc>
          <w:tcPr>
            <w:tcW w:w="6941"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left"/>
              <w:textAlignment w:val="auto"/>
              <w:rPr>
                <w:rFonts w:hint="default"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1.主要领导亲自抓，分管领导具体抓，强化调研，加强指导，落实措施，定期召开研究联系工作，要落实人、财、物，确保联系工作有序开展；2.时限：原则上联系单位主要领导每半年不少于一次，分管领导每季度不少于一次，其他班子成员每年不少于一次到村指导帮扶工作；3.加强驻村干部管理，卫生健康系统内驻村第一书记（驻村队员）紧紧围绕农村“五治”等中心任务，主动参与基层党建及基层治理，积极帮助群众解决”急难愁盼“问题”；4.平时工作的资料收集、整理和数据报送。</w:t>
            </w:r>
          </w:p>
        </w:tc>
        <w:tc>
          <w:tcPr>
            <w:tcW w:w="1950"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人事处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党办</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color w:val="231F20"/>
                <w:kern w:val="0"/>
                <w:sz w:val="24"/>
                <w:szCs w:val="24"/>
                <w:vertAlign w:val="baseline"/>
                <w:lang w:val="en-US" w:eastAsia="zh-CN" w:bidi="ar"/>
              </w:rPr>
            </w:pPr>
          </w:p>
        </w:tc>
        <w:tc>
          <w:tcPr>
            <w:tcW w:w="2025" w:type="dxa"/>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color w:val="231F20"/>
                <w:kern w:val="0"/>
                <w:sz w:val="24"/>
                <w:szCs w:val="24"/>
                <w:vertAlign w:val="baseline"/>
                <w:lang w:val="en-US" w:eastAsia="zh-CN" w:bidi="ar"/>
              </w:rPr>
            </w:pPr>
            <w:r>
              <w:rPr>
                <w:rFonts w:hint="eastAsia" w:ascii="仿宋_GB2312" w:hAnsi="仿宋_GB2312" w:eastAsia="仿宋_GB2312" w:cs="仿宋_GB2312"/>
                <w:color w:val="231F20"/>
                <w:kern w:val="0"/>
                <w:sz w:val="24"/>
                <w:szCs w:val="24"/>
                <w:vertAlign w:val="baseline"/>
                <w:lang w:val="en-US" w:eastAsia="zh-CN" w:bidi="ar"/>
              </w:rPr>
              <w:t>基层卫生健康处</w:t>
            </w:r>
          </w:p>
        </w:tc>
      </w:tr>
    </w:tbl>
    <w:p/>
    <w:sectPr>
      <w:headerReference r:id="rId3" w:type="first"/>
      <w:footerReference r:id="rId5" w:type="first"/>
      <w:footerReference r:id="rId4" w:type="default"/>
      <w:pgSz w:w="16838" w:h="11906" w:orient="landscape"/>
      <w:pgMar w:top="1800" w:right="1440" w:bottom="1800" w:left="1440"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Luxi Sans">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lang w:val="en-US"/>
      </w:rPr>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6"/>
                    </w:pPr>
                  </w:p>
                </w:txbxContent>
              </v:textbox>
            </v:shape>
          </w:pict>
        </mc:Fallback>
      </mc:AlternateContent>
    </w:r>
    <w:r>
      <w:rPr>
        <w:rFonts w:hint="eastAsia"/>
        <w:lang w:val="en-US" w:eastAsia="zh-CN"/>
      </w:rPr>
      <w:t>-9-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0YTZjNzMwNzMxZWU1MmE3ZjkyZDcxZGJiY2Q4MTEifQ=="/>
  </w:docVars>
  <w:rsids>
    <w:rsidRoot w:val="14454743"/>
    <w:rsid w:val="0D4D65B9"/>
    <w:rsid w:val="14454743"/>
    <w:rsid w:val="47691236"/>
    <w:rsid w:val="4CAC01DB"/>
    <w:rsid w:val="5BEB0174"/>
    <w:rsid w:val="64E14F9C"/>
    <w:rsid w:val="7FA30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Times New Roman" w:eastAsia="等线" w:cs="Times New Roman"/>
      <w:kern w:val="2"/>
      <w:sz w:val="21"/>
      <w:szCs w:val="22"/>
      <w:lang w:val="en-US" w:eastAsia="zh-CN" w:bidi="ar-SA"/>
    </w:rPr>
  </w:style>
  <w:style w:type="character" w:default="1" w:styleId="11">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envelope address"/>
    <w:basedOn w:val="1"/>
    <w:qFormat/>
    <w:uiPriority w:val="0"/>
    <w:pPr>
      <w:snapToGrid w:val="0"/>
      <w:ind w:left="2880"/>
    </w:pPr>
    <w:rPr>
      <w:rFonts w:ascii="Luxi Sans" w:hAnsi="Luxi Sans"/>
      <w:sz w:val="24"/>
    </w:rPr>
  </w:style>
  <w:style w:type="paragraph" w:styleId="3">
    <w:name w:val="table of authorities"/>
    <w:basedOn w:val="1"/>
    <w:next w:val="1"/>
    <w:unhideWhenUsed/>
    <w:qFormat/>
    <w:uiPriority w:val="99"/>
    <w:pPr>
      <w:ind w:left="420" w:leftChars="200"/>
    </w:pPr>
    <w:rPr>
      <w:sz w:val="32"/>
    </w:rPr>
  </w:style>
  <w:style w:type="paragraph" w:styleId="4">
    <w:name w:val="Body Text Indent"/>
    <w:basedOn w:val="1"/>
    <w:next w:val="5"/>
    <w:qFormat/>
    <w:uiPriority w:val="0"/>
    <w:pPr>
      <w:spacing w:line="530" w:lineRule="exact"/>
      <w:ind w:firstLine="200" w:firstLineChars="200"/>
      <w:jc w:val="center"/>
    </w:pPr>
    <w:rPr>
      <w:rFonts w:ascii="华文中宋" w:eastAsia="华文中宋" w:cs="Times New Roman"/>
      <w:b/>
      <w:bCs/>
      <w:sz w:val="36"/>
      <w:szCs w:val="24"/>
      <w:lang w:bidi="ar-SA"/>
    </w:rPr>
  </w:style>
  <w:style w:type="paragraph" w:styleId="5">
    <w:name w:val="Body Text Indent 2"/>
    <w:basedOn w:val="1"/>
    <w:qFormat/>
    <w:uiPriority w:val="0"/>
    <w:pPr>
      <w:ind w:firstLine="630"/>
    </w:pPr>
    <w:rPr>
      <w:b/>
    </w:rPr>
  </w:style>
  <w:style w:type="paragraph" w:styleId="6">
    <w:name w:val="footer"/>
    <w:basedOn w:val="1"/>
    <w:next w:val="1"/>
    <w:qFormat/>
    <w:uiPriority w:val="0"/>
    <w:pPr>
      <w:tabs>
        <w:tab w:val="center" w:pos="4153"/>
        <w:tab w:val="right" w:pos="8306"/>
      </w:tabs>
      <w:snapToGrid w:val="0"/>
      <w:jc w:val="left"/>
    </w:pPr>
    <w:rPr>
      <w:rFonts w:ascii="Calibri" w:hAnsi="Calibri" w:eastAsia="宋体" w:cs="Times New Roman"/>
      <w:sz w:val="18"/>
      <w:szCs w:val="18"/>
      <w:lang w:bidi="ar-SA"/>
    </w:rPr>
  </w:style>
  <w:style w:type="paragraph" w:styleId="7">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lang w:bidi="ar-SA"/>
    </w:rPr>
  </w:style>
  <w:style w:type="paragraph" w:styleId="8">
    <w:name w:val="Body Text First Indent 2"/>
    <w:basedOn w:val="4"/>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2259</Words>
  <Characters>2296</Characters>
  <Lines>0</Lines>
  <Paragraphs>0</Paragraphs>
  <TotalTime>6</TotalTime>
  <ScaleCrop>false</ScaleCrop>
  <LinksUpToDate>false</LinksUpToDate>
  <CharactersWithSpaces>2299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2023-06-05T03:39:00Z</dcterms:created>
  <dc:creator>肚子饿了(小李姐)</dc:creator>
  <cp:lastModifiedBy>你憋说话</cp:lastModifiedBy>
  <cp:lastPrinted>2023-06-05T05:19:00Z</cp:lastPrinted>
  <dcterms:modified xsi:type="dcterms:W3CDTF">2023-06-27T09:05:10Z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BF8F08EE1DEB4F0498A49169B0828A76_13</vt:lpwstr>
  </property>
</Properties>
</file>